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400"/>
        <w:jc w:val="center"/>
        <w:rPr>
          <w:rFonts w:ascii="標楷體" w:hAnsi="標楷體" w:eastAsia="標楷體"/>
          <w:b/>
          <w:b/>
          <w:sz w:val="40"/>
          <w:szCs w:val="40"/>
        </w:rPr>
      </w:pPr>
      <w:r>
        <w:rPr>
          <w:rFonts w:ascii="標楷體" w:hAnsi="標楷體" w:eastAsia="標楷體"/>
          <w:b/>
          <w:sz w:val="40"/>
          <w:szCs w:val="40"/>
        </w:rPr>
        <w:t>澎湖縣</w:t>
      </w:r>
      <w:r>
        <w:rPr>
          <w:rFonts w:eastAsia="標楷體" w:ascii="標楷體" w:hAnsi="標楷體"/>
          <w:b/>
          <w:sz w:val="40"/>
          <w:szCs w:val="40"/>
        </w:rPr>
        <w:t>109</w:t>
      </w:r>
      <w:r>
        <w:rPr>
          <w:rFonts w:ascii="標楷體" w:hAnsi="標楷體" w:eastAsia="標楷體"/>
          <w:b/>
          <w:sz w:val="40"/>
          <w:szCs w:val="40"/>
        </w:rPr>
        <w:t>年度居家托育服務中心評鑑評分表</w:t>
      </w:r>
    </w:p>
    <w:p>
      <w:pPr>
        <w:pStyle w:val="Normal"/>
        <w:spacing w:lineRule="exact" w:line="400"/>
        <w:rPr>
          <w:rFonts w:ascii="標楷體" w:hAnsi="標楷體" w:eastAsia="標楷體"/>
        </w:rPr>
      </w:pPr>
      <w:r>
        <w:rPr>
          <w:rFonts w:eastAsia="標楷體" w:ascii="標楷體" w:hAnsi="標楷體"/>
        </w:rPr>
      </w:r>
    </w:p>
    <w:p>
      <w:pPr>
        <w:pStyle w:val="Normal"/>
        <w:rPr>
          <w:rFonts w:ascii="標楷體" w:hAnsi="標楷體" w:eastAsia="標楷體"/>
        </w:rPr>
      </w:pPr>
      <w:r>
        <w:rPr>
          <w:rFonts w:ascii="標楷體" w:hAnsi="標楷體" w:eastAsia="標楷體"/>
        </w:rPr>
        <w:t>受評單位名稱：</w:t>
      </w:r>
      <w:r>
        <w:rPr>
          <w:rFonts w:eastAsia="標楷體" w:ascii="標楷體" w:hAnsi="標楷體"/>
        </w:rPr>
        <w:t xml:space="preserve">________________________                                               </w:t>
      </w:r>
      <w:r>
        <w:rPr>
          <w:rFonts w:ascii="標楷體" w:hAnsi="標楷體" w:eastAsia="標楷體"/>
        </w:rPr>
        <w:t>評鑑日期：   年   月   日</w:t>
      </w:r>
    </w:p>
    <w:p>
      <w:pPr>
        <w:pStyle w:val="Normal"/>
        <w:rPr>
          <w:rFonts w:ascii="標楷體" w:hAnsi="標楷體" w:eastAsia="標楷體"/>
        </w:rPr>
      </w:pPr>
      <w:r>
        <w:rPr>
          <w:rFonts w:eastAsia="標楷體" w:ascii="標楷體" w:hAnsi="標楷體"/>
        </w:rPr>
      </w:r>
    </w:p>
    <w:p>
      <w:pPr>
        <w:pStyle w:val="Normal"/>
        <w:rPr>
          <w:rFonts w:ascii="標楷體" w:hAnsi="標楷體" w:eastAsia="標楷體"/>
        </w:rPr>
      </w:pPr>
      <w:r>
        <w:rPr>
          <w:rFonts w:ascii="標楷體" w:hAnsi="標楷體" w:eastAsia="標楷體"/>
        </w:rPr>
        <w:t>評鑑委員：</w:t>
      </w:r>
      <w:r>
        <w:rPr>
          <w:rFonts w:eastAsia="標楷體" w:ascii="標楷體" w:hAnsi="標楷體"/>
        </w:rPr>
        <w:t>___________________________</w:t>
      </w:r>
    </w:p>
    <w:tbl>
      <w:tblPr>
        <w:tblW w:w="13325" w:type="dxa"/>
        <w:jc w:val="left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133"/>
        <w:gridCol w:w="2836"/>
        <w:gridCol w:w="6236"/>
        <w:gridCol w:w="852"/>
        <w:gridCol w:w="991"/>
        <w:gridCol w:w="1277"/>
      </w:tblGrid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項次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配分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color w:val="000000"/>
              </w:rPr>
            </w:pPr>
            <w:r>
              <w:rPr>
                <w:rFonts w:ascii="標楷體" w:hAnsi="標楷體" w:eastAsia="標楷體"/>
                <w:color w:val="000000"/>
              </w:rPr>
              <w:t>評鑑指標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color w:val="000000"/>
              </w:rPr>
            </w:pPr>
            <w:r>
              <w:rPr>
                <w:rFonts w:ascii="標楷體" w:hAnsi="標楷體" w:eastAsia="標楷體"/>
                <w:color w:val="000000"/>
              </w:rPr>
              <w:t>評分標準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自評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初評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實地考評</w:t>
            </w:r>
          </w:p>
        </w:tc>
      </w:tr>
      <w:tr>
        <w:trPr/>
        <w:tc>
          <w:tcPr>
            <w:tcW w:w="133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>
                <w:rFonts w:ascii="標楷體" w:hAnsi="標楷體" w:eastAsia="標楷體"/>
                <w:b/>
                <w:color w:val="000000"/>
              </w:rPr>
              <w:t>壹、行政管理</w:t>
            </w:r>
            <w:r>
              <w:rPr>
                <w:rFonts w:ascii="標楷體" w:hAnsi="標楷體" w:eastAsia="標楷體"/>
                <w:b/>
              </w:rPr>
              <w:t>（</w:t>
            </w:r>
            <w:r>
              <w:rPr>
                <w:rFonts w:ascii="標楷體" w:hAnsi="標楷體" w:eastAsia="標楷體"/>
                <w:b/>
                <w:color w:val="000000"/>
              </w:rPr>
              <w:t>共</w:t>
            </w:r>
            <w:r>
              <w:rPr>
                <w:rFonts w:eastAsia="標楷體" w:ascii="標楷體" w:hAnsi="標楷體"/>
                <w:b/>
                <w:color w:val="000000"/>
              </w:rPr>
              <w:t>32</w:t>
            </w:r>
            <w:r>
              <w:rPr>
                <w:rFonts w:ascii="標楷體" w:hAnsi="標楷體" w:eastAsia="標楷體"/>
                <w:b/>
                <w:color w:val="000000"/>
              </w:rPr>
              <w:t>分</w:t>
            </w:r>
            <w:r>
              <w:rPr>
                <w:rFonts w:ascii="標楷體" w:hAnsi="標楷體" w:eastAsia="標楷體"/>
                <w:b/>
              </w:rPr>
              <w:t>）</w:t>
            </w:r>
          </w:p>
        </w:tc>
      </w:tr>
      <w:tr>
        <w:trPr>
          <w:trHeight w:val="1697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1-1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>
                <w:rFonts w:ascii="標楷體" w:hAnsi="標楷體" w:eastAsia="標楷體"/>
              </w:rPr>
              <w:t>訂定托育人員托育危機事件處理流程</w:t>
            </w:r>
            <w:r>
              <w:rPr>
                <w:rFonts w:ascii="標楷體" w:hAnsi="標楷體" w:eastAsia="標楷體"/>
              </w:rPr>
              <w:t>（</w:t>
            </w:r>
            <w:r>
              <w:rPr>
                <w:rFonts w:ascii="標楷體" w:hAnsi="標楷體" w:eastAsia="標楷體"/>
              </w:rPr>
              <w:t>含兒保個案、重大意外事件或傳染疾病等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訂定兒保個案</w:t>
            </w:r>
            <w:r>
              <w:rPr>
                <w:rFonts w:ascii="標楷體" w:hAnsi="標楷體" w:eastAsia="標楷體"/>
              </w:rPr>
              <w:t>（</w:t>
            </w:r>
            <w:r>
              <w:rPr>
                <w:rFonts w:ascii="標楷體" w:hAnsi="標楷體" w:eastAsia="標楷體"/>
              </w:rPr>
              <w:t>含高風險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辦法、流程或機制，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訂定疾病處理流程或機制，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3.</w:t>
            </w:r>
            <w:r>
              <w:rPr>
                <w:rFonts w:ascii="標楷體" w:hAnsi="標楷體" w:eastAsia="標楷體"/>
              </w:rPr>
              <w:t>訂定事故傷害處理流程或機制，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4.</w:t>
            </w:r>
            <w:r>
              <w:rPr>
                <w:rFonts w:ascii="標楷體" w:hAnsi="標楷體" w:eastAsia="標楷體"/>
              </w:rPr>
              <w:t>訂定災害處理流程，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1-2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完整且即時更新資訊系統資料，並與書面資料相符。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由本府於評鑑前隨機抽選之</w:t>
            </w:r>
            <w:r>
              <w:rPr>
                <w:rFonts w:eastAsia="標楷體" w:ascii="標楷體" w:hAnsi="標楷體"/>
              </w:rPr>
              <w:t>10</w:t>
            </w:r>
            <w:r>
              <w:rPr>
                <w:rFonts w:ascii="標楷體" w:hAnsi="標楷體" w:eastAsia="標楷體"/>
              </w:rPr>
              <w:t>位托育人員資料為依據：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系統資料與書面資料相符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）完全符合，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）部分符合，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3</w:t>
            </w:r>
            <w:r>
              <w:rPr>
                <w:rFonts w:ascii="標楷體" w:hAnsi="標楷體" w:eastAsia="標楷體"/>
              </w:rPr>
              <w:t>）完全不符合，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系統資料、書面資料即時更新（委員電訪收托人數與系統、書面收托人數、投保人數資料相符）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）完全符合，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）部分符合，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3</w:t>
            </w:r>
            <w:r>
              <w:rPr>
                <w:rFonts w:ascii="標楷體" w:hAnsi="標楷體" w:eastAsia="標楷體"/>
              </w:rPr>
              <w:t>）完全不符合，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3384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1-3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>
                <w:rFonts w:ascii="標楷體" w:hAnsi="標楷體" w:eastAsia="標楷體"/>
              </w:rPr>
              <w:t>建立並落實維護托育人員、家長與幼兒等個人資料之安全與保密措施，並應善盡告知有關其個人資料使用、權益保障以及可行使之權利，同時依個人資料保護法妥善保存家長及幼兒個人資料。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由本府於評鑑前隨機抽選之</w:t>
            </w:r>
            <w:r>
              <w:rPr>
                <w:rFonts w:eastAsia="標楷體" w:ascii="標楷體" w:hAnsi="標楷體"/>
              </w:rPr>
              <w:t>10</w:t>
            </w:r>
            <w:r>
              <w:rPr>
                <w:rFonts w:ascii="標楷體" w:hAnsi="標楷體" w:eastAsia="標楷體"/>
              </w:rPr>
              <w:t>位托育人員資料為依據：</w:t>
            </w:r>
          </w:p>
          <w:p>
            <w:pPr>
              <w:pStyle w:val="Normal"/>
              <w:ind w:left="317" w:right="0" w:hanging="317"/>
              <w:rPr/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建立維護托育人員、家長與幼兒等個人資料之安全與保密措施，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分。除檢視書面資料外，需檢視工作人員操作電腦檔案之安全性（每位工作人員登入電腦需有自己專屬帳號密碼，且非工作人員不能看到托育人員或家長個資）。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應善盡告知有關其個人資料使用、權益保障以及可行使之權利，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ind w:left="317" w:right="0" w:hanging="317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3.</w:t>
            </w:r>
            <w:r>
              <w:rPr>
                <w:rFonts w:ascii="標楷體" w:hAnsi="標楷體" w:eastAsia="標楷體"/>
              </w:rPr>
              <w:t>妥善保存家長及幼兒個人資料，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</w:t>
            </w:r>
            <w:r>
              <w:rPr>
                <w:rFonts w:eastAsia="標楷體" w:ascii="標楷體" w:hAnsi="標楷體"/>
              </w:rPr>
              <w:t>(</w:t>
            </w:r>
            <w:r>
              <w:rPr>
                <w:rFonts w:ascii="標楷體" w:hAnsi="標楷體" w:eastAsia="標楷體"/>
              </w:rPr>
              <w:t>需檢視文件擺放妥適性，文件資料需用布幕蓋住或放置於不透明櫃子）。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2402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1-4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建置督導機制且定期召開工作會議，紀錄詳實並落實執行改善事項。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至少每半年召開工作會議，且紀錄詳實，並執行前次會議決議事項，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建置督導機制，</w:t>
            </w:r>
            <w:r>
              <w:rPr>
                <w:rFonts w:eastAsia="標楷體" w:ascii="標楷體" w:hAnsi="標楷體"/>
              </w:rPr>
              <w:t>3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(1)</w:t>
            </w:r>
            <w:r>
              <w:rPr>
                <w:rFonts w:ascii="標楷體" w:hAnsi="標楷體" w:eastAsia="標楷體"/>
              </w:rPr>
              <w:t>至少每季執行外督機制，且紀錄詳實，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</w:t>
            </w:r>
            <w:r>
              <w:rPr>
                <w:rFonts w:ascii="標楷體" w:hAnsi="標楷體" w:eastAsia="標楷體"/>
              </w:rPr>
              <w:t>至少每月執行內督機制，且紀錄詳實，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(3)</w:t>
            </w:r>
            <w:r>
              <w:rPr>
                <w:rFonts w:ascii="標楷體" w:hAnsi="標楷體" w:eastAsia="標楷體"/>
              </w:rPr>
              <w:t>依督導情形執行改善事項，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2404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1-5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  <w:color w:val="000000"/>
              </w:rPr>
            </w:pPr>
            <w:r>
              <w:rPr>
                <w:rFonts w:ascii="標楷體" w:hAnsi="標楷體" w:eastAsia="標楷體"/>
                <w:color w:val="000000"/>
              </w:rPr>
              <w:t>專職人員或新進人員每年參加</w:t>
            </w:r>
            <w:r>
              <w:rPr>
                <w:rFonts w:eastAsia="標楷體" w:ascii="標楷體" w:hAnsi="標楷體"/>
                <w:color w:val="000000"/>
              </w:rPr>
              <w:t>18</w:t>
            </w:r>
            <w:r>
              <w:rPr>
                <w:rFonts w:ascii="標楷體" w:hAnsi="標楷體" w:eastAsia="標楷體"/>
                <w:color w:val="000000"/>
              </w:rPr>
              <w:t>小時以上與專業相關之研討會及其他進修活動，並備有紀錄。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每年每人訓練時數符合規定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）完全符合，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）完全不符合，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每年每人訓練備有紀錄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）完全符合，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）完全不符合，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2683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1-6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6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  <w:color w:val="000000"/>
              </w:rPr>
            </w:pPr>
            <w:r>
              <w:rPr>
                <w:rFonts w:ascii="標楷體" w:hAnsi="標楷體" w:eastAsia="標楷體"/>
                <w:color w:val="000000"/>
              </w:rPr>
              <w:t>建立並落實家長及托育人員托育服務申訴管道與處理機制，並備有紀錄。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訂有托育服務申訴管理與處理機制</w:t>
            </w:r>
            <w:r>
              <w:rPr>
                <w:rFonts w:eastAsia="標楷體" w:ascii="標楷體" w:hAnsi="標楷體"/>
              </w:rPr>
              <w:t>/</w:t>
            </w:r>
            <w:r>
              <w:rPr>
                <w:rFonts w:ascii="標楷體" w:hAnsi="標楷體" w:eastAsia="標楷體"/>
              </w:rPr>
              <w:t>辦法，並宣傳或告知家長及托育人員，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機制落實狀況，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/>
            </w:pPr>
            <w:r>
              <w:rPr>
                <w:rFonts w:eastAsia="標楷體" w:ascii="標楷體" w:hAnsi="標楷體"/>
              </w:rPr>
              <w:t>(1)</w:t>
            </w:r>
            <w:r>
              <w:rPr>
                <w:rFonts w:ascii="標楷體" w:hAnsi="標楷體" w:eastAsia="標楷體"/>
              </w:rPr>
              <w:t>有個案：針對申訴個案予以後續處理，並備有紀錄，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</w:t>
            </w:r>
            <w:r>
              <w:rPr>
                <w:rFonts w:ascii="標楷體" w:hAnsi="標楷體" w:eastAsia="標楷體"/>
              </w:rPr>
              <w:t>無個案：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依工作人員訪談答覆內容符合處理機制，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工作人員訪談答覆內容，研判應有個案，未能符合處理機制，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1557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1-7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查核托育服務收費資訊登載的完整性與正確性，並備有紀錄。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自托育人員登記管理資訊系統抽查</w:t>
            </w:r>
            <w:r>
              <w:rPr>
                <w:rFonts w:eastAsia="標楷體" w:ascii="標楷體" w:hAnsi="標楷體"/>
              </w:rPr>
              <w:t>10</w:t>
            </w:r>
            <w:r>
              <w:rPr>
                <w:rFonts w:ascii="標楷體" w:hAnsi="標楷體" w:eastAsia="標楷體"/>
              </w:rPr>
              <w:t>案在職居家托育人員，其登載收費資料正確且完整，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抽訪家長，查核居家托育人員實際收費與登載是否相符，查核率達</w:t>
            </w:r>
            <w:r>
              <w:rPr>
                <w:rFonts w:eastAsia="標楷體" w:ascii="標楷體" w:hAnsi="標楷體"/>
              </w:rPr>
              <w:t>95%</w:t>
            </w:r>
            <w:r>
              <w:rPr>
                <w:rFonts w:ascii="標楷體" w:hAnsi="標楷體" w:eastAsia="標楷體"/>
              </w:rPr>
              <w:t>，並留有紀錄，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3325" w:type="dxa"/>
        <w:jc w:val="left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173"/>
        <w:gridCol w:w="2796"/>
        <w:gridCol w:w="6236"/>
        <w:gridCol w:w="852"/>
        <w:gridCol w:w="1039"/>
        <w:gridCol w:w="1229"/>
      </w:tblGrid>
      <w:tr>
        <w:trPr/>
        <w:tc>
          <w:tcPr>
            <w:tcW w:w="133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>
                <w:rFonts w:ascii="標楷體" w:hAnsi="標楷體" w:eastAsia="標楷體"/>
                <w:b/>
              </w:rPr>
              <w:t>特色與創新服務</w:t>
            </w:r>
            <w:r>
              <w:rPr>
                <w:rFonts w:ascii="標楷體" w:hAnsi="標楷體" w:eastAsia="標楷體"/>
                <w:b/>
              </w:rPr>
              <w:t>（</w:t>
            </w:r>
            <w:r>
              <w:rPr>
                <w:rFonts w:ascii="標楷體" w:hAnsi="標楷體" w:eastAsia="標楷體"/>
                <w:b/>
              </w:rPr>
              <w:t>共</w:t>
            </w:r>
            <w:r>
              <w:rPr>
                <w:rFonts w:eastAsia="標楷體" w:ascii="標楷體" w:hAnsi="標楷體"/>
                <w:b/>
              </w:rPr>
              <w:t>5</w:t>
            </w:r>
            <w:r>
              <w:rPr>
                <w:rFonts w:ascii="標楷體" w:hAnsi="標楷體" w:eastAsia="標楷體"/>
                <w:b/>
              </w:rPr>
              <w:t>分</w:t>
            </w:r>
            <w:r>
              <w:rPr>
                <w:rFonts w:ascii="標楷體" w:hAnsi="標楷體" w:eastAsia="標楷體"/>
                <w:b/>
              </w:rPr>
              <w:t>）</w:t>
            </w:r>
          </w:p>
        </w:tc>
      </w:tr>
      <w:tr>
        <w:trPr/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項次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配分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color w:val="000000"/>
              </w:rPr>
            </w:pPr>
            <w:r>
              <w:rPr>
                <w:rFonts w:ascii="標楷體" w:hAnsi="標楷體" w:eastAsia="標楷體"/>
                <w:color w:val="000000"/>
              </w:rPr>
              <w:t>評鑑指標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color w:val="000000"/>
              </w:rPr>
            </w:pPr>
            <w:r>
              <w:rPr>
                <w:rFonts w:ascii="標楷體" w:hAnsi="標楷體" w:eastAsia="標楷體"/>
                <w:color w:val="000000"/>
              </w:rPr>
              <w:t>評分標準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自評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初評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實地考評</w:t>
            </w:r>
          </w:p>
        </w:tc>
      </w:tr>
      <w:tr>
        <w:trPr>
          <w:trHeight w:val="1207" w:hRule="atLeast"/>
        </w:trPr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1-8</w:t>
            </w:r>
          </w:p>
        </w:tc>
        <w:tc>
          <w:tcPr>
            <w:tcW w:w="9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>
                <w:rFonts w:ascii="標楷體" w:hAnsi="標楷體" w:eastAsia="標楷體"/>
              </w:rPr>
              <w:t>請自行列舉：如置有專屬網站、部落格（或其他方式），提供家長與</w:t>
            </w:r>
            <w:r>
              <w:rPr>
                <w:rFonts w:ascii="標楷體" w:hAnsi="標楷體" w:eastAsia="標楷體"/>
              </w:rPr>
              <w:t>托育人員</w:t>
            </w:r>
            <w:r>
              <w:rPr>
                <w:rFonts w:ascii="標楷體" w:hAnsi="標楷體" w:eastAsia="標楷體"/>
              </w:rPr>
              <w:t>之交流平台等。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/>
        <w:tc>
          <w:tcPr>
            <w:tcW w:w="133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>
                <w:rFonts w:ascii="標楷體" w:hAnsi="標楷體" w:eastAsia="標楷體"/>
                <w:b/>
              </w:rPr>
              <w:t>扣分項目（</w:t>
            </w:r>
            <w:r>
              <w:rPr>
                <w:rFonts w:ascii="標楷體" w:hAnsi="標楷體" w:eastAsia="標楷體"/>
                <w:b/>
              </w:rPr>
              <w:t>共</w:t>
            </w:r>
            <w:r>
              <w:rPr>
                <w:rFonts w:eastAsia="標楷體" w:ascii="標楷體" w:hAnsi="標楷體"/>
                <w:b/>
              </w:rPr>
              <w:t>5</w:t>
            </w:r>
            <w:r>
              <w:rPr>
                <w:rFonts w:ascii="標楷體" w:hAnsi="標楷體" w:eastAsia="標楷體"/>
                <w:b/>
              </w:rPr>
              <w:t>分</w:t>
            </w:r>
            <w:r>
              <w:rPr>
                <w:rFonts w:ascii="標楷體" w:hAnsi="標楷體" w:eastAsia="標楷體"/>
                <w:b/>
              </w:rPr>
              <w:t>）</w:t>
            </w:r>
          </w:p>
        </w:tc>
      </w:tr>
      <w:tr>
        <w:trPr/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1-9</w:t>
            </w:r>
          </w:p>
        </w:tc>
        <w:tc>
          <w:tcPr>
            <w:tcW w:w="9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未針對各項評鑑、輔導結果及建議，研擬改善策略並具體執行，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/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未辦理托育人員在職訓練，且紀錄未詳實完整</w:t>
            </w:r>
            <w:r>
              <w:rPr>
                <w:rFonts w:ascii="標楷體" w:hAnsi="標楷體" w:eastAsia="標楷體"/>
              </w:rPr>
              <w:t>（</w:t>
            </w:r>
            <w:r>
              <w:rPr>
                <w:rFonts w:ascii="標楷體" w:hAnsi="標楷體" w:eastAsia="標楷體"/>
              </w:rPr>
              <w:t>如：與會學員時數、優缺點、檢討改進策略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3.</w:t>
            </w:r>
            <w:r>
              <w:rPr>
                <w:rFonts w:ascii="標楷體" w:hAnsi="標楷體" w:eastAsia="標楷體"/>
              </w:rPr>
              <w:t>未辦理督導托育人員定期健康檢查。</w:t>
            </w:r>
          </w:p>
          <w:p>
            <w:pPr>
              <w:pStyle w:val="Normal"/>
              <w:rPr/>
            </w:pPr>
            <w:r>
              <w:rPr>
                <w:rFonts w:eastAsia="標楷體" w:ascii="標楷體" w:hAnsi="標楷體"/>
              </w:rPr>
              <w:t>4.</w:t>
            </w:r>
            <w:r>
              <w:rPr>
                <w:rFonts w:ascii="標楷體" w:hAnsi="標楷體" w:eastAsia="標楷體"/>
              </w:rPr>
              <w:t>未辦理在職托育人員意外責任保險</w:t>
            </w:r>
            <w:r>
              <w:rPr>
                <w:rFonts w:ascii="標楷體" w:hAnsi="標楷體" w:eastAsia="標楷體"/>
              </w:rPr>
              <w:t>（</w:t>
            </w:r>
            <w:r>
              <w:rPr>
                <w:rFonts w:ascii="標楷體" w:hAnsi="標楷體" w:eastAsia="標楷體"/>
              </w:rPr>
              <w:t>依居家式托育服務提供者登記及管理辦法規定，托育人員需於收托兒童當日投保責任保險，爰倘未全數辦理即予以扣分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5.</w:t>
            </w:r>
            <w:r>
              <w:rPr>
                <w:rFonts w:ascii="標楷體" w:hAnsi="標楷體" w:eastAsia="標楷體"/>
              </w:rPr>
              <w:t>委員視現場資料斟酌評分。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882" w:hRule="atLeast"/>
        </w:trPr>
        <w:tc>
          <w:tcPr>
            <w:tcW w:w="10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  <w:b/>
                <w:b/>
              </w:rPr>
            </w:pPr>
            <w:r>
              <w:rPr>
                <w:rFonts w:ascii="標楷體" w:hAnsi="標楷體" w:eastAsia="標楷體"/>
                <w:b/>
              </w:rPr>
              <w:t>總計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2694" w:hRule="atLeast"/>
        </w:trPr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b/>
                <w:b/>
              </w:rPr>
            </w:pPr>
            <w:r>
              <w:rPr>
                <w:rFonts w:ascii="標楷體" w:hAnsi="標楷體" w:eastAsia="標楷體"/>
                <w:b/>
              </w:rPr>
              <w:t>優點</w:t>
            </w:r>
          </w:p>
        </w:tc>
        <w:tc>
          <w:tcPr>
            <w:tcW w:w="12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3527" w:hRule="atLeast"/>
        </w:trPr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b/>
                <w:b/>
              </w:rPr>
            </w:pPr>
            <w:r>
              <w:rPr>
                <w:rFonts w:ascii="標楷體" w:hAnsi="標楷體" w:eastAsia="標楷體"/>
                <w:b/>
              </w:rPr>
              <w:t>建議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  <w:b/>
                <w:b/>
              </w:rPr>
            </w:pPr>
            <w:r>
              <w:rPr>
                <w:rFonts w:ascii="標楷體" w:hAnsi="標楷體" w:eastAsia="標楷體"/>
                <w:b/>
              </w:rPr>
              <w:t>事項</w:t>
            </w:r>
          </w:p>
        </w:tc>
        <w:tc>
          <w:tcPr>
            <w:tcW w:w="12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</w:tbl>
    <w:p>
      <w:pPr>
        <w:pStyle w:val="Normal"/>
        <w:spacing w:lineRule="exact" w:line="400"/>
        <w:jc w:val="center"/>
        <w:rPr>
          <w:rFonts w:ascii="標楷體" w:hAnsi="標楷體" w:eastAsia="標楷體"/>
          <w:b/>
          <w:b/>
          <w:sz w:val="40"/>
          <w:szCs w:val="40"/>
        </w:rPr>
      </w:pPr>
      <w:r>
        <w:br w:type="page"/>
      </w:r>
      <w:r>
        <w:rPr>
          <w:rFonts w:ascii="標楷體" w:hAnsi="標楷體" w:eastAsia="標楷體"/>
          <w:b/>
          <w:sz w:val="40"/>
          <w:szCs w:val="40"/>
        </w:rPr>
        <w:t>澎湖縣</w:t>
      </w:r>
      <w:r>
        <w:rPr>
          <w:rFonts w:eastAsia="標楷體" w:ascii="標楷體" w:hAnsi="標楷體"/>
          <w:b/>
          <w:sz w:val="40"/>
          <w:szCs w:val="40"/>
        </w:rPr>
        <w:t>109</w:t>
      </w:r>
      <w:r>
        <w:rPr>
          <w:rFonts w:ascii="標楷體" w:hAnsi="標楷體" w:eastAsia="標楷體"/>
          <w:b/>
          <w:sz w:val="40"/>
          <w:szCs w:val="40"/>
        </w:rPr>
        <w:t>年度居家托育服務中心評鑑評分表</w:t>
      </w:r>
    </w:p>
    <w:p>
      <w:pPr>
        <w:pStyle w:val="Normal"/>
        <w:jc w:val="center"/>
        <w:rPr>
          <w:rFonts w:ascii="標楷體" w:hAnsi="標楷體" w:eastAsia="標楷體"/>
        </w:rPr>
      </w:pPr>
      <w:r>
        <w:rPr>
          <w:rFonts w:eastAsia="標楷體" w:ascii="標楷體" w:hAnsi="標楷體"/>
        </w:rPr>
      </w:r>
    </w:p>
    <w:p>
      <w:pPr>
        <w:pStyle w:val="Normal"/>
        <w:rPr>
          <w:rFonts w:ascii="標楷體" w:hAnsi="標楷體" w:eastAsia="標楷體"/>
        </w:rPr>
      </w:pPr>
      <w:r>
        <w:rPr>
          <w:rFonts w:ascii="標楷體" w:hAnsi="標楷體" w:eastAsia="標楷體"/>
        </w:rPr>
        <w:t>受評單位名稱：</w:t>
      </w:r>
      <w:r>
        <w:rPr>
          <w:rFonts w:eastAsia="標楷體" w:ascii="標楷體" w:hAnsi="標楷體"/>
        </w:rPr>
        <w:t xml:space="preserve">________________________  </w:t>
      </w:r>
    </w:p>
    <w:p>
      <w:pPr>
        <w:pStyle w:val="Normal"/>
        <w:rPr>
          <w:rFonts w:ascii="標楷體" w:hAnsi="標楷體" w:eastAsia="標楷體"/>
        </w:rPr>
      </w:pPr>
      <w:r>
        <w:rPr>
          <w:rFonts w:ascii="標楷體" w:hAnsi="標楷體" w:eastAsia="標楷體"/>
        </w:rPr>
        <w:t xml:space="preserve">                                                                                </w:t>
      </w:r>
      <w:r>
        <w:rPr>
          <w:rFonts w:ascii="標楷體" w:hAnsi="標楷體" w:eastAsia="標楷體"/>
        </w:rPr>
        <w:t>評鑑日期：   年   月   日</w:t>
      </w:r>
    </w:p>
    <w:p>
      <w:pPr>
        <w:pStyle w:val="Normal"/>
        <w:rPr>
          <w:rFonts w:ascii="標楷體" w:hAnsi="標楷體" w:eastAsia="標楷體"/>
        </w:rPr>
      </w:pPr>
      <w:r>
        <w:rPr>
          <w:rFonts w:ascii="標楷體" w:hAnsi="標楷體" w:eastAsia="標楷體"/>
        </w:rPr>
        <w:t xml:space="preserve">    </w:t>
      </w:r>
      <w:r>
        <w:rPr>
          <w:rFonts w:ascii="標楷體" w:hAnsi="標楷體" w:eastAsia="標楷體"/>
        </w:rPr>
        <w:t>評鑑委員：</w:t>
      </w:r>
      <w:r>
        <w:rPr>
          <w:rFonts w:eastAsia="標楷體" w:ascii="標楷體" w:hAnsi="標楷體"/>
        </w:rPr>
        <w:t>___________________________</w:t>
      </w:r>
    </w:p>
    <w:tbl>
      <w:tblPr>
        <w:tblW w:w="13325" w:type="dxa"/>
        <w:jc w:val="left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133"/>
        <w:gridCol w:w="2836"/>
        <w:gridCol w:w="6236"/>
        <w:gridCol w:w="852"/>
        <w:gridCol w:w="991"/>
        <w:gridCol w:w="1277"/>
      </w:tblGrid>
      <w:tr>
        <w:trPr>
          <w:trHeight w:val="694" w:hRule="atLeast"/>
        </w:trPr>
        <w:tc>
          <w:tcPr>
            <w:tcW w:w="133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  <w:b/>
                <w:b/>
              </w:rPr>
            </w:pPr>
            <w:r>
              <w:rPr>
                <w:rFonts w:ascii="標楷體" w:hAnsi="標楷體" w:eastAsia="標楷體"/>
                <w:b/>
              </w:rPr>
              <w:t>貳、專業服務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項次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配分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color w:val="000000"/>
              </w:rPr>
            </w:pPr>
            <w:r>
              <w:rPr>
                <w:rFonts w:ascii="標楷體" w:hAnsi="標楷體" w:eastAsia="標楷體"/>
                <w:color w:val="000000"/>
              </w:rPr>
              <w:t>評鑑指標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color w:val="000000"/>
              </w:rPr>
            </w:pPr>
            <w:r>
              <w:rPr>
                <w:rFonts w:ascii="標楷體" w:hAnsi="標楷體" w:eastAsia="標楷體"/>
                <w:color w:val="000000"/>
              </w:rPr>
              <w:t>評分標準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自評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初評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bookmarkStart w:id="0" w:name="_GoBack"/>
            <w:bookmarkEnd w:id="0"/>
            <w:r>
              <w:rPr>
                <w:rFonts w:ascii="標楷體" w:hAnsi="標楷體" w:eastAsia="標楷體"/>
              </w:rPr>
              <w:t>實地考評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2-1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12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  <w:color w:val="000000"/>
              </w:rPr>
            </w:pPr>
            <w:r>
              <w:rPr>
                <w:rFonts w:ascii="標楷體" w:hAnsi="標楷體" w:eastAsia="標楷體"/>
                <w:color w:val="000000"/>
              </w:rPr>
              <w:t>依據「居家式托育服務提供者登記及管理辦法」第</w:t>
            </w:r>
            <w:r>
              <w:rPr>
                <w:rFonts w:eastAsia="標楷體" w:ascii="標楷體" w:hAnsi="標楷體"/>
                <w:color w:val="000000"/>
              </w:rPr>
              <w:t>18</w:t>
            </w:r>
            <w:r>
              <w:rPr>
                <w:rFonts w:ascii="標楷體" w:hAnsi="標楷體" w:eastAsia="標楷體"/>
                <w:color w:val="000000"/>
              </w:rPr>
              <w:t>條規定之訪視時效及次數確實提供服務，並詳實填寫訪視紀錄及持續追蹤、輔導並確認托育服務環境安全無虞。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由本府於評鑑前隨機抽選之</w:t>
            </w:r>
            <w:r>
              <w:rPr>
                <w:rFonts w:eastAsia="標楷體" w:ascii="標楷體" w:hAnsi="標楷體"/>
              </w:rPr>
              <w:t>10</w:t>
            </w:r>
            <w:r>
              <w:rPr>
                <w:rFonts w:ascii="標楷體" w:hAnsi="標楷體" w:eastAsia="標楷體"/>
              </w:rPr>
              <w:t>位托育人員資料為依據：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有依規定完成訪視並備有紀錄，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/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完全符合，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/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部分符合，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/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3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完全不符合，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/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訪視紀錄詳實</w:t>
            </w:r>
            <w:r>
              <w:rPr>
                <w:rFonts w:ascii="標楷體" w:hAnsi="標楷體" w:eastAsia="標楷體"/>
              </w:rPr>
              <w:t>（</w:t>
            </w:r>
            <w:r>
              <w:rPr>
                <w:rFonts w:ascii="標楷體" w:hAnsi="標楷體" w:eastAsia="標楷體"/>
                <w:color w:val="000000"/>
              </w:rPr>
              <w:t>含目的、重點、輔導計畫、追蹤督導、回饋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/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完全符合，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/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部分符合，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/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3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完全不符合，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3.</w:t>
            </w:r>
            <w:r>
              <w:rPr>
                <w:rFonts w:ascii="標楷體" w:hAnsi="標楷體" w:eastAsia="標楷體"/>
              </w:rPr>
              <w:t>訪視輔導過程應確認托育環境符合安全檢核規定，未符規定時通報地方政府並備有紀錄，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/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完全符合，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/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部分符合，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/>
            </w:pPr>
            <w:r>
              <w:rPr>
                <w:rFonts w:ascii="標楷體" w:hAnsi="標楷體" w:eastAsia="標楷體"/>
              </w:rPr>
              <w:t>（</w:t>
            </w:r>
            <w:r>
              <w:rPr>
                <w:rFonts w:eastAsia="標楷體" w:ascii="標楷體" w:hAnsi="標楷體"/>
              </w:rPr>
              <w:t>3</w:t>
            </w:r>
            <w:r>
              <w:rPr>
                <w:rFonts w:ascii="標楷體" w:hAnsi="標楷體" w:eastAsia="標楷體"/>
              </w:rPr>
              <w:t>）</w:t>
            </w:r>
            <w:r>
              <w:rPr>
                <w:rFonts w:ascii="標楷體" w:hAnsi="標楷體" w:eastAsia="標楷體"/>
              </w:rPr>
              <w:t>完全不符合，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2399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2-2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8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  <w:color w:val="000000"/>
              </w:rPr>
            </w:pPr>
            <w:r>
              <w:rPr>
                <w:rFonts w:ascii="標楷體" w:hAnsi="標楷體" w:eastAsia="標楷體"/>
                <w:color w:val="000000"/>
              </w:rPr>
              <w:t>依據訪視結果，針對危機</w:t>
            </w:r>
            <w:r>
              <w:rPr>
                <w:rFonts w:eastAsia="標楷體" w:ascii="標楷體" w:hAnsi="標楷體"/>
                <w:color w:val="000000"/>
              </w:rPr>
              <w:t>/</w:t>
            </w:r>
            <w:r>
              <w:rPr>
                <w:rFonts w:ascii="標楷體" w:hAnsi="標楷體" w:eastAsia="標楷體"/>
                <w:color w:val="000000"/>
              </w:rPr>
              <w:t>特殊個案適時反映，並配合協助輔導及處遇，且備有紀錄，以供中央及地方主管機關查核。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numPr>
                <w:ilvl w:val="0"/>
                <w:numId w:val="1"/>
              </w:numPr>
              <w:ind w:left="317" w:right="0" w:hanging="317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有個案—反映主管機關且備有紀錄，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(1)</w:t>
            </w:r>
            <w:r>
              <w:rPr>
                <w:rFonts w:ascii="標楷體" w:hAnsi="標楷體" w:eastAsia="標楷體"/>
              </w:rPr>
              <w:t>紀錄完整</w:t>
            </w:r>
            <w:r>
              <w:rPr>
                <w:rFonts w:eastAsia="標楷體" w:ascii="標楷體" w:hAnsi="標楷體"/>
              </w:rPr>
              <w:t>(</w:t>
            </w:r>
            <w:r>
              <w:rPr>
                <w:rFonts w:ascii="標楷體" w:hAnsi="標楷體" w:eastAsia="標楷體"/>
              </w:rPr>
              <w:t>包含事件原因、過程、處理情形及後續追踨</w:t>
            </w:r>
            <w:r>
              <w:rPr>
                <w:rFonts w:eastAsia="標楷體" w:ascii="標楷體" w:hAnsi="標楷體"/>
              </w:rPr>
              <w:t>)</w:t>
            </w:r>
            <w:r>
              <w:rPr>
                <w:rFonts w:ascii="標楷體" w:hAnsi="標楷體" w:eastAsia="標楷體"/>
              </w:rPr>
              <w:t>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</w:t>
            </w:r>
            <w:r>
              <w:rPr>
                <w:rFonts w:ascii="標楷體" w:hAnsi="標楷體" w:eastAsia="標楷體"/>
              </w:rPr>
              <w:t>有紀錄但未盡完善，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(3)</w:t>
            </w:r>
            <w:r>
              <w:rPr>
                <w:rFonts w:ascii="標楷體" w:hAnsi="標楷體" w:eastAsia="標楷體"/>
              </w:rPr>
              <w:t>未通報主管機關，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配合主管機關協助相關後續處理，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(1)</w:t>
            </w:r>
            <w:r>
              <w:rPr>
                <w:rFonts w:ascii="標楷體" w:hAnsi="標楷體" w:eastAsia="標楷體"/>
              </w:rPr>
              <w:t>提供完整協助，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</w:t>
            </w:r>
            <w:r>
              <w:rPr>
                <w:rFonts w:ascii="標楷體" w:hAnsi="標楷體" w:eastAsia="標楷體"/>
              </w:rPr>
              <w:t>僅供部分協助，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</w:t>
            </w:r>
            <w:r>
              <w:rPr>
                <w:rFonts w:ascii="標楷體" w:hAnsi="標楷體" w:eastAsia="標楷體"/>
              </w:rPr>
              <w:t>有配合事項，未協助，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3.</w:t>
            </w:r>
            <w:r>
              <w:rPr>
                <w:rFonts w:ascii="標楷體" w:hAnsi="標楷體" w:eastAsia="標楷體"/>
              </w:rPr>
              <w:t>無個案，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2-3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訪視及督導人員具備兒童福利與保護之專業知能，並能察覺與評估危機個案，提供適切處理。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由委員分別提出兒童福利及兒童保護之問題，與督導及訪視輔導員各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名對談。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完全符合，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部分符合，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3.</w:t>
            </w:r>
            <w:r>
              <w:rPr>
                <w:rFonts w:ascii="標楷體" w:hAnsi="標楷體" w:eastAsia="標楷體"/>
              </w:rPr>
              <w:t>完全不符合，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2-4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8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托育人員之家庭訪視紀錄、例行訪視及環境安全檢核等相關紀錄，內部批閱程序完備並能掌握時效。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由本府於評鑑前隨機抽選之</w:t>
            </w:r>
            <w:r>
              <w:rPr>
                <w:rFonts w:eastAsia="標楷體" w:ascii="標楷體" w:hAnsi="標楷體"/>
              </w:rPr>
              <w:t>10</w:t>
            </w:r>
            <w:r>
              <w:rPr>
                <w:rFonts w:ascii="標楷體" w:hAnsi="標楷體" w:eastAsia="標楷體"/>
              </w:rPr>
              <w:t>位托育人員資料為依據，檢視指標所提三項紀錄於托育人員登記管理資訊系統是否皆完成「督導審核管理」程序。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相關資料落實批閱程序，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(1)</w:t>
            </w:r>
            <w:r>
              <w:rPr>
                <w:rFonts w:ascii="標楷體" w:hAnsi="標楷體" w:eastAsia="標楷體"/>
              </w:rPr>
              <w:t>完全符合，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</w:t>
            </w:r>
            <w:r>
              <w:rPr>
                <w:rFonts w:ascii="標楷體" w:hAnsi="標楷體" w:eastAsia="標楷體"/>
              </w:rPr>
              <w:t>部分符合，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(3)</w:t>
            </w:r>
            <w:r>
              <w:rPr>
                <w:rFonts w:ascii="標楷體" w:hAnsi="標楷體" w:eastAsia="標楷體"/>
              </w:rPr>
              <w:t>未符合，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批閱掌握時效</w:t>
            </w:r>
            <w:r>
              <w:rPr>
                <w:rFonts w:eastAsia="標楷體" w:ascii="標楷體" w:hAnsi="標楷體"/>
              </w:rPr>
              <w:t>(</w:t>
            </w:r>
            <w:r>
              <w:rPr>
                <w:rFonts w:ascii="標楷體" w:hAnsi="標楷體" w:eastAsia="標楷體"/>
              </w:rPr>
              <w:t>於</w:t>
            </w:r>
            <w:r>
              <w:rPr>
                <w:rFonts w:eastAsia="標楷體" w:ascii="標楷體" w:hAnsi="標楷體"/>
              </w:rPr>
              <w:t>14</w:t>
            </w:r>
            <w:r>
              <w:rPr>
                <w:rFonts w:ascii="標楷體" w:hAnsi="標楷體" w:eastAsia="標楷體"/>
              </w:rPr>
              <w:t>日內批閱</w:t>
            </w:r>
            <w:r>
              <w:rPr>
                <w:rFonts w:eastAsia="標楷體" w:ascii="標楷體" w:hAnsi="標楷體"/>
              </w:rPr>
              <w:t>)</w:t>
            </w:r>
            <w:r>
              <w:rPr>
                <w:rFonts w:ascii="標楷體" w:hAnsi="標楷體" w:eastAsia="標楷體"/>
              </w:rPr>
              <w:t>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(1)</w:t>
            </w:r>
            <w:r>
              <w:rPr>
                <w:rFonts w:ascii="標楷體" w:hAnsi="標楷體" w:eastAsia="標楷體"/>
              </w:rPr>
              <w:t>完全符合，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</w:t>
            </w:r>
            <w:r>
              <w:rPr>
                <w:rFonts w:ascii="標楷體" w:hAnsi="標楷體" w:eastAsia="標楷體"/>
              </w:rPr>
              <w:t>部分符合，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(3)</w:t>
            </w:r>
            <w:r>
              <w:rPr>
                <w:rFonts w:ascii="標楷體" w:hAnsi="標楷體" w:eastAsia="標楷體"/>
              </w:rPr>
              <w:t>未符合，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3.</w:t>
            </w:r>
            <w:r>
              <w:rPr>
                <w:rFonts w:ascii="標楷體" w:hAnsi="標楷體" w:eastAsia="標楷體"/>
              </w:rPr>
              <w:t>針對紀錄內容給予適切回饋，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(1)</w:t>
            </w:r>
            <w:r>
              <w:rPr>
                <w:rFonts w:ascii="標楷體" w:hAnsi="標楷體" w:eastAsia="標楷體"/>
              </w:rPr>
              <w:t>完全符合，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</w:t>
            </w:r>
            <w:r>
              <w:rPr>
                <w:rFonts w:ascii="標楷體" w:hAnsi="標楷體" w:eastAsia="標楷體"/>
              </w:rPr>
              <w:t>部分符合，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(3)</w:t>
            </w:r>
            <w:r>
              <w:rPr>
                <w:rFonts w:ascii="標楷體" w:hAnsi="標楷體" w:eastAsia="標楷體"/>
              </w:rPr>
              <w:t>未符合，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2-5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詳實完整填寫家長資料表及幼兒資料表。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由本府於評鑑前隨機抽選之</w:t>
            </w:r>
            <w:r>
              <w:rPr>
                <w:rFonts w:eastAsia="標楷體" w:ascii="標楷體" w:hAnsi="標楷體"/>
              </w:rPr>
              <w:t>10</w:t>
            </w:r>
            <w:r>
              <w:rPr>
                <w:rFonts w:ascii="標楷體" w:hAnsi="標楷體" w:eastAsia="標楷體"/>
              </w:rPr>
              <w:t>位托育人員資料為依據，並由委員電訪托育人員相關問題。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資料填寫完整，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(1)</w:t>
            </w:r>
            <w:r>
              <w:rPr>
                <w:rFonts w:ascii="標楷體" w:hAnsi="標楷體" w:eastAsia="標楷體"/>
              </w:rPr>
              <w:t>完全符合，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</w:t>
            </w:r>
            <w:r>
              <w:rPr>
                <w:rFonts w:ascii="標楷體" w:hAnsi="標楷體" w:eastAsia="標楷體"/>
              </w:rPr>
              <w:t>部分符合，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(3)</w:t>
            </w:r>
            <w:r>
              <w:rPr>
                <w:rFonts w:ascii="標楷體" w:hAnsi="標楷體" w:eastAsia="標楷體"/>
              </w:rPr>
              <w:t>完全不符合，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資料填寫即時且更新正確（比對電訪結果與幼兒基本資料相符），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(1)</w:t>
            </w:r>
            <w:r>
              <w:rPr>
                <w:rFonts w:ascii="標楷體" w:hAnsi="標楷體" w:eastAsia="標楷體"/>
              </w:rPr>
              <w:t>完全符合，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</w:t>
            </w:r>
            <w:r>
              <w:rPr>
                <w:rFonts w:ascii="標楷體" w:hAnsi="標楷體" w:eastAsia="標楷體"/>
              </w:rPr>
              <w:t>部分符合，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(3)</w:t>
            </w:r>
            <w:r>
              <w:rPr>
                <w:rFonts w:ascii="標楷體" w:hAnsi="標楷體" w:eastAsia="標楷體"/>
              </w:rPr>
              <w:t>完全不符合，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2149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2-6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家長簽訂托育契約書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由本府於評鑑前隨機抽選之</w:t>
            </w:r>
            <w:r>
              <w:rPr>
                <w:rFonts w:eastAsia="標楷體" w:ascii="標楷體" w:hAnsi="標楷體"/>
              </w:rPr>
              <w:t>10</w:t>
            </w:r>
            <w:r>
              <w:rPr>
                <w:rFonts w:ascii="標楷體" w:hAnsi="標楷體" w:eastAsia="標楷體"/>
              </w:rPr>
              <w:t>位托育人員資料為依據。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完全符合</w:t>
            </w:r>
            <w:r>
              <w:rPr>
                <w:rFonts w:eastAsia="標楷體" w:ascii="標楷體" w:hAnsi="標楷體"/>
              </w:rPr>
              <w:t>(100%)</w:t>
            </w:r>
            <w:r>
              <w:rPr>
                <w:rFonts w:ascii="標楷體" w:hAnsi="標楷體" w:eastAsia="標楷體"/>
              </w:rPr>
              <w:t>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不符合</w:t>
            </w:r>
            <w:r>
              <w:rPr>
                <w:rFonts w:eastAsia="標楷體" w:ascii="標楷體" w:hAnsi="標楷體"/>
              </w:rPr>
              <w:t>(</w:t>
            </w:r>
            <w:r>
              <w:rPr>
                <w:rFonts w:ascii="標楷體" w:hAnsi="標楷體" w:eastAsia="標楷體"/>
              </w:rPr>
              <w:t>未滿</w:t>
            </w:r>
            <w:r>
              <w:rPr>
                <w:rFonts w:eastAsia="標楷體" w:ascii="標楷體" w:hAnsi="標楷體"/>
              </w:rPr>
              <w:t>100%)</w:t>
            </w:r>
            <w:r>
              <w:rPr>
                <w:rFonts w:ascii="標楷體" w:hAnsi="標楷體" w:eastAsia="標楷體"/>
              </w:rPr>
              <w:t>：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(1)</w:t>
            </w:r>
            <w:r>
              <w:rPr>
                <w:rFonts w:ascii="標楷體" w:hAnsi="標楷體" w:eastAsia="標楷體"/>
              </w:rPr>
              <w:t>居家托育服務中心通報主管機關，且有限期改善等行政處分，酌予給分，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</w:t>
            </w:r>
            <w:r>
              <w:rPr>
                <w:rFonts w:ascii="標楷體" w:hAnsi="標楷體" w:eastAsia="標楷體"/>
              </w:rPr>
              <w:t>未有任何處理紀錄，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2116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2-7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8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落實居家式托育人員登記證書之申請及變更之管理規範。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由本府於評鑑前針對異動名單隨機抽選之</w:t>
            </w:r>
            <w:r>
              <w:rPr>
                <w:rFonts w:eastAsia="標楷體" w:ascii="標楷體" w:hAnsi="標楷體"/>
              </w:rPr>
              <w:t>10</w:t>
            </w:r>
            <w:r>
              <w:rPr>
                <w:rFonts w:ascii="標楷體" w:hAnsi="標楷體" w:eastAsia="標楷體"/>
              </w:rPr>
              <w:t>位托育人員資料為依據。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依所訂期限完成登記證書申請之初審作業</w:t>
            </w:r>
            <w:r>
              <w:rPr>
                <w:rFonts w:eastAsia="標楷體" w:ascii="標楷體" w:hAnsi="標楷體"/>
              </w:rPr>
              <w:t>(</w:t>
            </w:r>
            <w:r>
              <w:rPr>
                <w:rFonts w:ascii="標楷體" w:hAnsi="標楷體" w:eastAsia="標楷體"/>
              </w:rPr>
              <w:t>含書面審查及實地審查</w:t>
            </w:r>
            <w:r>
              <w:rPr>
                <w:rFonts w:eastAsia="標楷體" w:ascii="標楷體" w:hAnsi="標楷體"/>
              </w:rPr>
              <w:t>)</w:t>
            </w:r>
            <w:r>
              <w:rPr>
                <w:rFonts w:ascii="標楷體" w:hAnsi="標楷體" w:eastAsia="標楷體"/>
              </w:rPr>
              <w:t>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(1)100%</w:t>
            </w:r>
            <w:r>
              <w:rPr>
                <w:rFonts w:ascii="標楷體" w:hAnsi="標楷體" w:eastAsia="標楷體"/>
              </w:rPr>
              <w:t>符合，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(2)81-99%</w:t>
            </w:r>
            <w:r>
              <w:rPr>
                <w:rFonts w:ascii="標楷體" w:hAnsi="標楷體" w:eastAsia="標楷體"/>
              </w:rPr>
              <w:t>符合，</w:t>
            </w:r>
            <w:r>
              <w:rPr>
                <w:rFonts w:eastAsia="標楷體" w:ascii="標楷體" w:hAnsi="標楷體"/>
              </w:rPr>
              <w:t>3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(3)61-80%</w:t>
            </w:r>
            <w:r>
              <w:rPr>
                <w:rFonts w:ascii="標楷體" w:hAnsi="標楷體" w:eastAsia="標楷體"/>
              </w:rPr>
              <w:t>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(4)31%-60%</w:t>
            </w:r>
            <w:r>
              <w:rPr>
                <w:rFonts w:ascii="標楷體" w:hAnsi="標楷體" w:eastAsia="標楷體"/>
              </w:rPr>
              <w:t>以上，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(5)30%</w:t>
            </w:r>
            <w:r>
              <w:rPr>
                <w:rFonts w:ascii="標楷體" w:hAnsi="標楷體" w:eastAsia="標楷體"/>
              </w:rPr>
              <w:t>以下，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依登記辦法第</w:t>
            </w:r>
            <w:r>
              <w:rPr>
                <w:rFonts w:eastAsia="標楷體" w:ascii="標楷體" w:hAnsi="標楷體"/>
              </w:rPr>
              <w:t>14</w:t>
            </w:r>
            <w:r>
              <w:rPr>
                <w:rFonts w:ascii="標楷體" w:hAnsi="標楷體" w:eastAsia="標楷體"/>
              </w:rPr>
              <w:t>條第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項或地方政府所訂期限，完成同條第</w:t>
            </w:r>
            <w:r>
              <w:rPr>
                <w:rFonts w:eastAsia="標楷體" w:ascii="標楷體" w:hAnsi="標楷體"/>
              </w:rPr>
              <w:t>1-3</w:t>
            </w:r>
            <w:r>
              <w:rPr>
                <w:rFonts w:ascii="標楷體" w:hAnsi="標楷體" w:eastAsia="標楷體"/>
              </w:rPr>
              <w:t>項之初審作業，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(1)100%</w:t>
            </w:r>
            <w:r>
              <w:rPr>
                <w:rFonts w:ascii="標楷體" w:hAnsi="標楷體" w:eastAsia="標楷體"/>
              </w:rPr>
              <w:t>符合，</w:t>
            </w:r>
            <w:r>
              <w:rPr>
                <w:rFonts w:eastAsia="標楷體" w:ascii="標楷體" w:hAnsi="標楷體"/>
              </w:rPr>
              <w:t>4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(2)81-99%</w:t>
            </w:r>
            <w:r>
              <w:rPr>
                <w:rFonts w:ascii="標楷體" w:hAnsi="標楷體" w:eastAsia="標楷體"/>
              </w:rPr>
              <w:t>符合，</w:t>
            </w:r>
            <w:r>
              <w:rPr>
                <w:rFonts w:eastAsia="標楷體" w:ascii="標楷體" w:hAnsi="標楷體"/>
              </w:rPr>
              <w:t>3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(3)61-80%</w:t>
            </w:r>
            <w:r>
              <w:rPr>
                <w:rFonts w:ascii="標楷體" w:hAnsi="標楷體" w:eastAsia="標楷體"/>
              </w:rPr>
              <w:t>符合，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(4)31%-60%</w:t>
            </w:r>
            <w:r>
              <w:rPr>
                <w:rFonts w:ascii="標楷體" w:hAnsi="標楷體" w:eastAsia="標楷體"/>
              </w:rPr>
              <w:t>以上，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(5)30%</w:t>
            </w:r>
            <w:r>
              <w:rPr>
                <w:rFonts w:ascii="標楷體" w:hAnsi="標楷體" w:eastAsia="標楷體"/>
              </w:rPr>
              <w:t>以下，</w:t>
            </w:r>
            <w:r>
              <w:rPr>
                <w:rFonts w:eastAsia="標楷體" w:ascii="標楷體" w:hAnsi="標楷體"/>
              </w:rPr>
              <w:t>0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1691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2-8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6</w:t>
            </w:r>
            <w:r>
              <w:rPr>
                <w:rFonts w:ascii="標楷體" w:hAnsi="標楷體" w:eastAsia="標楷體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建立多元化宣導模式及管道，並能結合社區資源</w:t>
            </w:r>
            <w:r>
              <w:rPr>
                <w:rFonts w:eastAsia="標楷體" w:ascii="標楷體" w:hAnsi="標楷體"/>
              </w:rPr>
              <w:t>(</w:t>
            </w:r>
            <w:r>
              <w:rPr>
                <w:rFonts w:ascii="標楷體" w:hAnsi="標楷體" w:eastAsia="標楷體"/>
              </w:rPr>
              <w:t>含公、私部門</w:t>
            </w:r>
            <w:r>
              <w:rPr>
                <w:rFonts w:eastAsia="標楷體" w:ascii="標楷體" w:hAnsi="標楷體"/>
              </w:rPr>
              <w:t>)</w:t>
            </w:r>
            <w:r>
              <w:rPr>
                <w:rFonts w:ascii="標楷體" w:hAnsi="標楷體" w:eastAsia="標楷體"/>
              </w:rPr>
              <w:t>推動居家托育服務中心業務。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1.</w:t>
            </w:r>
            <w:r>
              <w:rPr>
                <w:rFonts w:ascii="標楷體" w:hAnsi="標楷體" w:eastAsia="標楷體"/>
              </w:rPr>
              <w:t>建立多元化宣導模式及管道，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2.</w:t>
            </w:r>
            <w:r>
              <w:rPr>
                <w:rFonts w:ascii="標楷體" w:hAnsi="標楷體" w:eastAsia="標楷體"/>
              </w:rPr>
              <w:t>宣導內容結合社區資源推動居家托育服務中心業務，</w:t>
            </w:r>
            <w:r>
              <w:rPr>
                <w:rFonts w:eastAsia="標楷體" w:ascii="標楷體" w:hAnsi="標楷體"/>
              </w:rPr>
              <w:t>2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3.</w:t>
            </w:r>
            <w:r>
              <w:rPr>
                <w:rFonts w:ascii="標楷體" w:hAnsi="標楷體" w:eastAsia="標楷體"/>
              </w:rPr>
              <w:t>宣導對象涵蓋社區居民，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4.</w:t>
            </w:r>
            <w:r>
              <w:rPr>
                <w:rFonts w:ascii="標楷體" w:hAnsi="標楷體" w:eastAsia="標楷體"/>
              </w:rPr>
              <w:t>宣導成效大致符合預期目標且具效益，</w:t>
            </w:r>
            <w:r>
              <w:rPr>
                <w:rFonts w:eastAsia="標楷體" w:ascii="標楷體" w:hAnsi="標楷體"/>
              </w:rPr>
              <w:t>1</w:t>
            </w:r>
            <w:r>
              <w:rPr>
                <w:rFonts w:ascii="標楷體" w:hAnsi="標楷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  <w:t>2-9</w:t>
            </w:r>
          </w:p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  <w:t>10</w:t>
            </w:r>
            <w:r>
              <w:rPr>
                <w:rFonts w:ascii="標楷體" w:hAnsi="標楷體" w:cs="新細明體" w:eastAsia="標楷體"/>
                <w:szCs w:val="24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jc w:val="both"/>
              <w:rPr/>
            </w:pPr>
            <w:r>
              <w:rPr>
                <w:rFonts w:ascii="標楷體" w:hAnsi="標楷體" w:cs="新細明體" w:eastAsia="標楷體"/>
                <w:szCs w:val="24"/>
              </w:rPr>
              <w:t>訂定與落實執行媒合轉介處理流程，且留有紀錄與統計分析，並針對失敗原因進行彙整及擬定改善策略。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ListParagraph"/>
              <w:widowControl/>
              <w:ind w:left="254" w:right="0" w:hanging="254"/>
              <w:jc w:val="both"/>
              <w:rPr>
                <w:rFonts w:ascii="標楷體" w:hAnsi="標楷體" w:eastAsia="標楷體" w:cs="新細明體"/>
              </w:rPr>
            </w:pPr>
            <w:r>
              <w:rPr>
                <w:rFonts w:eastAsia="標楷體" w:cs="新細明體" w:ascii="標楷體" w:hAnsi="標楷體"/>
              </w:rPr>
              <w:t>1.</w:t>
            </w:r>
            <w:r>
              <w:rPr>
                <w:rFonts w:ascii="標楷體" w:hAnsi="標楷體" w:cs="新細明體" w:eastAsia="標楷體"/>
              </w:rPr>
              <w:t>訂定媒合轉介處理流程，</w:t>
            </w:r>
            <w:r>
              <w:rPr>
                <w:rFonts w:eastAsia="標楷體" w:cs="新細明體" w:ascii="標楷體" w:hAnsi="標楷體"/>
              </w:rPr>
              <w:t>2</w:t>
            </w:r>
            <w:r>
              <w:rPr>
                <w:rFonts w:ascii="標楷體" w:hAnsi="標楷體" w:cs="新細明體" w:eastAsia="標楷體"/>
              </w:rPr>
              <w:t>分。</w:t>
            </w:r>
          </w:p>
          <w:p>
            <w:pPr>
              <w:pStyle w:val="ListParagraph"/>
              <w:widowControl/>
              <w:ind w:left="254" w:right="0" w:hanging="254"/>
              <w:jc w:val="both"/>
              <w:rPr>
                <w:rFonts w:ascii="標楷體" w:hAnsi="標楷體" w:eastAsia="標楷體" w:cs="新細明體"/>
              </w:rPr>
            </w:pPr>
            <w:r>
              <w:rPr>
                <w:rFonts w:eastAsia="標楷體" w:cs="新細明體" w:ascii="標楷體" w:hAnsi="標楷體"/>
              </w:rPr>
              <w:t>2.</w:t>
            </w:r>
            <w:r>
              <w:rPr>
                <w:rFonts w:ascii="標楷體" w:hAnsi="標楷體" w:cs="新細明體" w:eastAsia="標楷體"/>
              </w:rPr>
              <w:t>留有媒合紀錄</w:t>
            </w:r>
            <w:r>
              <w:rPr>
                <w:rFonts w:eastAsia="標楷體" w:cs="新細明體" w:ascii="標楷體" w:hAnsi="標楷體"/>
              </w:rPr>
              <w:t>(</w:t>
            </w:r>
            <w:r>
              <w:rPr>
                <w:rFonts w:ascii="標楷體" w:hAnsi="標楷體" w:cs="新細明體" w:eastAsia="標楷體"/>
              </w:rPr>
              <w:t>含媒合結果及失敗原因</w:t>
            </w:r>
            <w:r>
              <w:rPr>
                <w:rFonts w:eastAsia="標楷體" w:cs="新細明體" w:ascii="標楷體" w:hAnsi="標楷體"/>
              </w:rPr>
              <w:t>)</w:t>
            </w:r>
            <w:r>
              <w:rPr>
                <w:rFonts w:ascii="標楷體" w:hAnsi="標楷體" w:cs="新細明體" w:eastAsia="標楷體"/>
              </w:rPr>
              <w:t>，</w:t>
            </w:r>
            <w:r>
              <w:rPr>
                <w:rFonts w:eastAsia="標楷體" w:cs="新細明體" w:ascii="標楷體" w:hAnsi="標楷體"/>
              </w:rPr>
              <w:t>2</w:t>
            </w:r>
            <w:r>
              <w:rPr>
                <w:rFonts w:ascii="標楷體" w:hAnsi="標楷體" w:cs="新細明體" w:eastAsia="標楷體"/>
              </w:rPr>
              <w:t>分。</w:t>
            </w:r>
          </w:p>
          <w:p>
            <w:pPr>
              <w:pStyle w:val="ListParagraph"/>
              <w:widowControl/>
              <w:ind w:left="254" w:right="0" w:hanging="254"/>
              <w:jc w:val="both"/>
              <w:rPr>
                <w:rFonts w:ascii="標楷體" w:hAnsi="標楷體" w:eastAsia="標楷體" w:cs="新細明體"/>
              </w:rPr>
            </w:pPr>
            <w:r>
              <w:rPr>
                <w:rFonts w:eastAsia="標楷體" w:cs="新細明體" w:ascii="標楷體" w:hAnsi="標楷體"/>
              </w:rPr>
              <w:t>3.</w:t>
            </w:r>
            <w:r>
              <w:rPr>
                <w:rFonts w:ascii="標楷體" w:hAnsi="標楷體" w:cs="新細明體" w:eastAsia="標楷體"/>
              </w:rPr>
              <w:t>針對媒合轉介進行統計分析，</w:t>
            </w:r>
            <w:r>
              <w:rPr>
                <w:rFonts w:eastAsia="標楷體" w:cs="新細明體" w:ascii="標楷體" w:hAnsi="標楷體"/>
              </w:rPr>
              <w:t>2</w:t>
            </w:r>
            <w:r>
              <w:rPr>
                <w:rFonts w:ascii="標楷體" w:hAnsi="標楷體" w:cs="新細明體" w:eastAsia="標楷體"/>
              </w:rPr>
              <w:t>分（有統計即給分）。</w:t>
            </w:r>
          </w:p>
          <w:p>
            <w:pPr>
              <w:pStyle w:val="ListParagraph"/>
              <w:widowControl/>
              <w:ind w:left="254" w:right="0" w:hanging="254"/>
              <w:jc w:val="both"/>
              <w:rPr/>
            </w:pPr>
            <w:r>
              <w:rPr>
                <w:rFonts w:eastAsia="標楷體" w:cs="新細明體" w:ascii="標楷體" w:hAnsi="標楷體"/>
              </w:rPr>
              <w:t>4.</w:t>
            </w:r>
            <w:r>
              <w:rPr>
                <w:rFonts w:ascii="標楷體" w:hAnsi="標楷體" w:cs="新細明體" w:eastAsia="標楷體"/>
              </w:rPr>
              <w:t>針對媒合失敗原因彙整分析及擬定改善策略，並有效提升媒合率，</w:t>
            </w:r>
            <w:r>
              <w:rPr>
                <w:rFonts w:eastAsia="標楷體" w:cs="新細明體" w:ascii="標楷體" w:hAnsi="標楷體"/>
              </w:rPr>
              <w:t>4</w:t>
            </w:r>
            <w:r>
              <w:rPr>
                <w:rFonts w:ascii="標楷體" w:hAnsi="標楷體" w:cs="新細明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626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  <w:t>2-10</w:t>
            </w:r>
          </w:p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  <w:t>4</w:t>
            </w:r>
            <w:r>
              <w:rPr>
                <w:rFonts w:ascii="標楷體" w:hAnsi="標楷體" w:cs="新細明體" w:eastAsia="標楷體"/>
                <w:szCs w:val="24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jc w:val="both"/>
              <w:rPr/>
            </w:pPr>
            <w:r>
              <w:rPr>
                <w:rFonts w:ascii="標楷體" w:hAnsi="標楷體" w:cs="新細明體" w:eastAsia="標楷體"/>
                <w:szCs w:val="24"/>
              </w:rPr>
              <w:t>備有</w:t>
            </w:r>
            <w:r>
              <w:rPr>
                <w:rFonts w:ascii="標楷體" w:hAnsi="標楷體" w:cs="新細明體" w:eastAsia="標楷體"/>
                <w:color w:val="000000"/>
                <w:szCs w:val="24"/>
              </w:rPr>
              <w:t>兒童生活及成長過程之紀錄，且內容詳實完整</w:t>
            </w:r>
            <w:r>
              <w:rPr>
                <w:rFonts w:ascii="標楷體" w:hAnsi="標楷體" w:cs="新細明體" w:eastAsia="標楷體"/>
                <w:szCs w:val="24"/>
              </w:rPr>
              <w:t>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jc w:val="both"/>
              <w:rPr/>
            </w:pPr>
            <w:r>
              <w:rPr>
                <w:rFonts w:ascii="標楷體" w:hAnsi="標楷體" w:cs="新細明體" w:eastAsia="標楷體"/>
              </w:rPr>
              <w:t>由中心自行提供之</w:t>
            </w:r>
            <w:r>
              <w:rPr>
                <w:rFonts w:eastAsia="標楷體" w:cs="新細明體" w:ascii="標楷體" w:hAnsi="標楷體"/>
                <w:szCs w:val="24"/>
              </w:rPr>
              <w:t>10</w:t>
            </w:r>
            <w:r>
              <w:rPr>
                <w:rFonts w:ascii="標楷體" w:hAnsi="標楷體" w:cs="新細明體" w:eastAsia="標楷體"/>
                <w:szCs w:val="24"/>
              </w:rPr>
              <w:t>位托育人員資料為依據</w:t>
            </w:r>
            <w:r>
              <w:rPr>
                <w:rFonts w:ascii="標楷體" w:hAnsi="標楷體" w:cs="新細明體" w:eastAsia="標楷體"/>
              </w:rPr>
              <w:t>：</w:t>
            </w:r>
          </w:p>
          <w:p>
            <w:pPr>
              <w:pStyle w:val="ListParagraph"/>
              <w:widowControl/>
              <w:numPr>
                <w:ilvl w:val="1"/>
                <w:numId w:val="4"/>
              </w:numPr>
              <w:tabs>
                <w:tab w:val="left" w:pos="257" w:leader="none"/>
              </w:tabs>
              <w:ind w:left="257" w:right="0" w:hanging="257"/>
              <w:jc w:val="both"/>
              <w:rPr>
                <w:rFonts w:ascii="標楷體" w:hAnsi="標楷體" w:eastAsia="標楷體" w:cs="新細明體"/>
              </w:rPr>
            </w:pPr>
            <w:r>
              <w:rPr>
                <w:rFonts w:ascii="標楷體" w:hAnsi="標楷體" w:cs="新細明體" w:eastAsia="標楷體"/>
              </w:rPr>
              <w:t>內容詳實</w:t>
            </w:r>
            <w:r>
              <w:rPr>
                <w:rFonts w:eastAsia="標楷體" w:cs="新細明體" w:ascii="標楷體" w:hAnsi="標楷體"/>
              </w:rPr>
              <w:t>(</w:t>
            </w:r>
            <w:r>
              <w:rPr>
                <w:rFonts w:ascii="標楷體" w:hAnsi="標楷體" w:cs="新細明體" w:eastAsia="標楷體"/>
              </w:rPr>
              <w:t>包括兒童飲食、出缺席、生活作息、教保活動、緊急事件及其他特殊事件等</w:t>
            </w:r>
            <w:r>
              <w:rPr>
                <w:rFonts w:eastAsia="標楷體" w:cs="新細明體" w:ascii="標楷體" w:hAnsi="標楷體"/>
              </w:rPr>
              <w:t>)</w:t>
            </w:r>
            <w:r>
              <w:rPr>
                <w:rFonts w:ascii="標楷體" w:hAnsi="標楷體" w:cs="新細明體" w:eastAsia="標楷體"/>
              </w:rPr>
              <w:t>及成長紀錄，</w:t>
            </w:r>
            <w:r>
              <w:rPr>
                <w:rFonts w:eastAsia="標楷體" w:cs="新細明體" w:ascii="標楷體" w:hAnsi="標楷體"/>
              </w:rPr>
              <w:t>2</w:t>
            </w:r>
            <w:r>
              <w:rPr>
                <w:rFonts w:ascii="標楷體" w:hAnsi="標楷體" w:cs="新細明體" w:eastAsia="標楷體"/>
              </w:rPr>
              <w:t>分。</w:t>
            </w:r>
          </w:p>
          <w:p>
            <w:pPr>
              <w:pStyle w:val="ListParagraph"/>
              <w:widowControl/>
              <w:numPr>
                <w:ilvl w:val="1"/>
                <w:numId w:val="4"/>
              </w:numPr>
              <w:tabs>
                <w:tab w:val="left" w:pos="257" w:leader="none"/>
              </w:tabs>
              <w:ind w:left="257" w:right="0" w:hanging="257"/>
              <w:jc w:val="both"/>
              <w:rPr>
                <w:rFonts w:ascii="標楷體" w:hAnsi="標楷體" w:eastAsia="標楷體" w:cs="新細明體"/>
              </w:rPr>
            </w:pPr>
            <w:r>
              <w:rPr>
                <w:rFonts w:ascii="標楷體" w:hAnsi="標楷體" w:cs="新細明體" w:eastAsia="標楷體"/>
              </w:rPr>
              <w:t>多元呈現並具個別化特色，</w:t>
            </w:r>
            <w:r>
              <w:rPr>
                <w:rFonts w:eastAsia="標楷體" w:cs="新細明體" w:ascii="標楷體" w:hAnsi="標楷體"/>
              </w:rPr>
              <w:t>2</w:t>
            </w:r>
            <w:r>
              <w:rPr>
                <w:rFonts w:ascii="標楷體" w:hAnsi="標楷體" w:cs="新細明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626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  <w:t>2-11</w:t>
            </w:r>
          </w:p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  <w:t>4</w:t>
            </w:r>
            <w:r>
              <w:rPr>
                <w:rFonts w:ascii="標楷體" w:hAnsi="標楷體" w:cs="新細明體" w:eastAsia="標楷體"/>
                <w:szCs w:val="24"/>
              </w:rPr>
              <w:t>分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jc w:val="both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ascii="標楷體" w:hAnsi="標楷體" w:cs="新細明體" w:eastAsia="標楷體"/>
                <w:szCs w:val="24"/>
              </w:rPr>
              <w:t>備有督導托育人員填寫「嬰幼兒發展檢核表」及協助通報、處遇之紀錄。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ListParagraph"/>
              <w:widowControl/>
              <w:ind w:left="0" w:right="0" w:hanging="0"/>
              <w:jc w:val="both"/>
              <w:rPr>
                <w:rFonts w:ascii="標楷體" w:hAnsi="標楷體" w:eastAsia="標楷體" w:cs="新細明體"/>
              </w:rPr>
            </w:pPr>
            <w:r>
              <w:rPr>
                <w:rFonts w:ascii="標楷體" w:hAnsi="標楷體" w:cs="新細明體" w:eastAsia="標楷體"/>
              </w:rPr>
              <w:t>「嬰幼兒發展檢核表」未限定使用衛生福利部國民健康署之版本，只要是政府機關核定版本即可：</w:t>
            </w:r>
          </w:p>
          <w:p>
            <w:pPr>
              <w:pStyle w:val="ListParagraph"/>
              <w:widowControl/>
              <w:ind w:left="257" w:right="0" w:hanging="257"/>
              <w:jc w:val="both"/>
              <w:rPr>
                <w:rFonts w:ascii="標楷體" w:hAnsi="標楷體" w:eastAsia="標楷體" w:cs="新細明體"/>
              </w:rPr>
            </w:pPr>
            <w:r>
              <w:rPr>
                <w:rFonts w:eastAsia="標楷體" w:cs="新細明體" w:ascii="標楷體" w:hAnsi="標楷體"/>
              </w:rPr>
              <w:t>1.</w:t>
            </w:r>
            <w:r>
              <w:rPr>
                <w:rFonts w:ascii="標楷體" w:hAnsi="標楷體" w:cs="新細明體" w:eastAsia="標楷體"/>
              </w:rPr>
              <w:t>備有督導托育人員填寫「嬰幼兒發展檢核表」之紀錄，</w:t>
            </w:r>
            <w:r>
              <w:rPr>
                <w:rFonts w:eastAsia="標楷體" w:cs="新細明體" w:ascii="標楷體" w:hAnsi="標楷體"/>
              </w:rPr>
              <w:t>1</w:t>
            </w:r>
            <w:r>
              <w:rPr>
                <w:rFonts w:ascii="標楷體" w:hAnsi="標楷體" w:cs="新細明體" w:eastAsia="標楷體"/>
              </w:rPr>
              <w:t>分。</w:t>
            </w:r>
          </w:p>
          <w:p>
            <w:pPr>
              <w:pStyle w:val="ListParagraph"/>
              <w:widowControl/>
              <w:ind w:left="257" w:right="0" w:hanging="257"/>
              <w:jc w:val="both"/>
              <w:rPr>
                <w:rFonts w:ascii="標楷體" w:hAnsi="標楷體" w:eastAsia="標楷體" w:cs="新細明體"/>
              </w:rPr>
            </w:pPr>
            <w:r>
              <w:rPr>
                <w:rFonts w:eastAsia="標楷體" w:cs="新細明體" w:ascii="標楷體" w:hAnsi="標楷體"/>
              </w:rPr>
              <w:t>2.</w:t>
            </w:r>
            <w:r>
              <w:rPr>
                <w:rFonts w:ascii="標楷體" w:hAnsi="標楷體" w:cs="新細明體" w:eastAsia="標楷體"/>
              </w:rPr>
              <w:t>中心備有檢核結果，</w:t>
            </w:r>
            <w:r>
              <w:rPr>
                <w:rFonts w:eastAsia="標楷體" w:cs="新細明體" w:ascii="標楷體" w:hAnsi="標楷體"/>
              </w:rPr>
              <w:t>1</w:t>
            </w:r>
            <w:r>
              <w:rPr>
                <w:rFonts w:ascii="標楷體" w:hAnsi="標楷體" w:cs="新細明體" w:eastAsia="標楷體"/>
              </w:rPr>
              <w:t>分。</w:t>
            </w:r>
          </w:p>
          <w:p>
            <w:pPr>
              <w:pStyle w:val="ListParagraph"/>
              <w:widowControl/>
              <w:tabs>
                <w:tab w:val="left" w:pos="257" w:leader="none"/>
              </w:tabs>
              <w:ind w:left="257" w:right="0" w:hanging="257"/>
              <w:jc w:val="both"/>
              <w:rPr>
                <w:rFonts w:ascii="標楷體" w:hAnsi="標楷體" w:eastAsia="標楷體" w:cs="新細明體"/>
              </w:rPr>
            </w:pPr>
            <w:r>
              <w:rPr>
                <w:rFonts w:eastAsia="標楷體" w:cs="新細明體" w:ascii="標楷體" w:hAnsi="標楷體"/>
              </w:rPr>
              <w:t>3.</w:t>
            </w:r>
            <w:r>
              <w:rPr>
                <w:rFonts w:ascii="標楷體" w:hAnsi="標楷體" w:cs="新細明體" w:eastAsia="標楷體"/>
              </w:rPr>
              <w:t>協助托育人員及家長進行轉介、通報之紀錄，</w:t>
            </w:r>
            <w:r>
              <w:rPr>
                <w:rFonts w:eastAsia="標楷體" w:cs="新細明體" w:ascii="標楷體" w:hAnsi="標楷體"/>
              </w:rPr>
              <w:t>2</w:t>
            </w:r>
            <w:r>
              <w:rPr>
                <w:rFonts w:ascii="標楷體" w:hAnsi="標楷體" w:cs="新細明體" w:eastAsia="標楷體"/>
              </w:rPr>
              <w:t>分。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626" w:hRule="atLeast"/>
        </w:trPr>
        <w:tc>
          <w:tcPr>
            <w:tcW w:w="10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ListParagraph"/>
              <w:widowControl/>
              <w:ind w:left="0" w:right="0" w:hanging="0"/>
              <w:jc w:val="both"/>
              <w:rPr>
                <w:rFonts w:ascii="標楷體" w:hAnsi="標楷體" w:eastAsia="標楷體"/>
                <w:b/>
                <w:b/>
              </w:rPr>
            </w:pPr>
            <w:r>
              <w:rPr>
                <w:rFonts w:ascii="標楷體" w:hAnsi="標楷體" w:eastAsia="標楷體"/>
                <w:b/>
              </w:rPr>
              <w:t>總計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2245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b/>
                <w:b/>
              </w:rPr>
            </w:pPr>
            <w:r>
              <w:rPr>
                <w:rFonts w:ascii="標楷體" w:hAnsi="標楷體" w:eastAsia="標楷體"/>
                <w:b/>
              </w:rPr>
              <w:t>優點</w:t>
            </w:r>
          </w:p>
        </w:tc>
        <w:tc>
          <w:tcPr>
            <w:tcW w:w="121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2688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b/>
                <w:b/>
              </w:rPr>
            </w:pPr>
            <w:r>
              <w:rPr>
                <w:rFonts w:ascii="標楷體" w:hAnsi="標楷體" w:eastAsia="標楷體"/>
                <w:b/>
              </w:rPr>
              <w:t>建議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  <w:b/>
                <w:b/>
              </w:rPr>
            </w:pPr>
            <w:r>
              <w:rPr>
                <w:rFonts w:ascii="標楷體" w:hAnsi="標楷體" w:eastAsia="標楷體"/>
                <w:b/>
              </w:rPr>
              <w:t>事項</w:t>
            </w:r>
          </w:p>
        </w:tc>
        <w:tc>
          <w:tcPr>
            <w:tcW w:w="121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701" w:right="1701" w:header="0" w:top="1191" w:footer="0" w:bottom="1134" w:gutter="0"/>
      <w:pgNumType w:fmt="decimal"/>
      <w:formProt w:val="false"/>
      <w:textDirection w:val="lrTb"/>
      <w:docGrid w:type="linesAndChar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Calibri">
    <w:charset w:val="88"/>
    <w:family w:val="roman"/>
    <w:pitch w:val="variable"/>
  </w:font>
  <w:font w:name="Cambria">
    <w:charset w:val="88"/>
    <w:family w:val="roman"/>
    <w:pitch w:val="variable"/>
  </w:font>
  <w:font w:name="Liberation Sans">
    <w:altName w:val="Arial"/>
    <w:charset w:val="88"/>
    <w:family w:val="swiss"/>
    <w:pitch w:val="variable"/>
  </w:font>
  <w:font w:name="標楷體">
    <w:charset w:val="8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lvl w:ilvl="0">
      <w:start w:val="1"/>
      <w:numFmt w:val="decimal"/>
      <w:lvlText w:val="（%1）"/>
      <w:lvlJc w:val="left"/>
      <w:pPr>
        <w:ind w:left="996" w:hanging="72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89"/>
  <w:defaultTabStop w:val="480"/>
  <w:compat>
    <w:doNotExpandShiftReturn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Tahoma"/>
        <w:sz w:val="24"/>
        <w:szCs w:val="22"/>
        <w:lang w:val="en-US" w:eastAsia="zh-TW" w:bidi="ar-SA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before="0" w:after="0"/>
      <w:jc w:val="left"/>
    </w:pPr>
    <w:rPr>
      <w:rFonts w:ascii="Calibri" w:hAnsi="Calibri" w:eastAsia="新細明體"/>
      <w:color w:val="auto"/>
      <w:sz w:val="24"/>
      <w:szCs w:val="22"/>
      <w:lang w:val="en-US" w:eastAsia="zh-TW" w:bidi="ar-SA"/>
    </w:rPr>
  </w:style>
  <w:style w:type="character" w:styleId="DefaultParagraphFont">
    <w:name w:val="Default Paragraph Font"/>
    <w:qFormat/>
    <w:rPr/>
  </w:style>
  <w:style w:type="character" w:styleId="Style14">
    <w:name w:val="頁首 字元"/>
    <w:basedOn w:val="DefaultParagraphFont"/>
    <w:qFormat/>
    <w:rPr>
      <w:sz w:val="20"/>
      <w:szCs w:val="20"/>
    </w:rPr>
  </w:style>
  <w:style w:type="character" w:styleId="Style15">
    <w:name w:val="頁尾 字元"/>
    <w:basedOn w:val="DefaultParagraphFont"/>
    <w:qFormat/>
    <w:rPr>
      <w:sz w:val="20"/>
      <w:szCs w:val="20"/>
    </w:rPr>
  </w:style>
  <w:style w:type="character" w:styleId="Style16">
    <w:name w:val="註解方塊文字 字元"/>
    <w:basedOn w:val="DefaultParagraphFont"/>
    <w:qFormat/>
    <w:rPr>
      <w:rFonts w:ascii="Cambria" w:hAnsi="Cambria" w:eastAsia="新細明體" w:cs="Tahoma"/>
      <w:sz w:val="18"/>
      <w:szCs w:val="18"/>
    </w:rPr>
  </w:style>
  <w:style w:type="character" w:styleId="ListLabel1">
    <w:name w:val="ListLabel 1"/>
    <w:qFormat/>
    <w:rPr>
      <w:color w:val="auto"/>
    </w:rPr>
  </w:style>
  <w:style w:type="paragraph" w:styleId="Style17">
    <w:name w:val="標題"/>
    <w:basedOn w:val="Normal"/>
    <w:next w:val="Style18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微軟正黑體" w:cs="Arial"/>
      <w:sz w:val="28"/>
      <w:szCs w:val="28"/>
    </w:rPr>
  </w:style>
  <w:style w:type="paragraph" w:styleId="Style18">
    <w:name w:val="Body Text"/>
    <w:basedOn w:val="Normal"/>
    <w:pPr>
      <w:widowControl w:val="false"/>
      <w:bidi w:val="0"/>
      <w:spacing w:lineRule="auto" w:line="276" w:before="0" w:after="140"/>
      <w:jc w:val="left"/>
    </w:pPr>
    <w:rPr/>
  </w:style>
  <w:style w:type="paragraph" w:styleId="Style19">
    <w:name w:val="List"/>
    <w:basedOn w:val="Style18"/>
    <w:pPr>
      <w:widowControl w:val="false"/>
      <w:bidi w:val="0"/>
      <w:spacing w:before="0" w:after="0"/>
      <w:jc w:val="left"/>
    </w:pPr>
    <w:rPr>
      <w:rFonts w:cs="Arial"/>
    </w:rPr>
  </w:style>
  <w:style w:type="paragraph" w:styleId="Style20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cs="Arial"/>
      <w:i/>
      <w:iCs/>
      <w:sz w:val="24"/>
      <w:szCs w:val="24"/>
    </w:rPr>
  </w:style>
  <w:style w:type="paragraph" w:styleId="Style21">
    <w:name w:val="索引"/>
    <w:basedOn w:val="Normal"/>
    <w:qFormat/>
    <w:pPr>
      <w:widowControl w:val="false"/>
      <w:suppressLineNumbers/>
      <w:bidi w:val="0"/>
      <w:spacing w:before="0" w:after="0"/>
      <w:jc w:val="left"/>
    </w:pPr>
    <w:rPr>
      <w:rFonts w:cs="Arial"/>
    </w:rPr>
  </w:style>
  <w:style w:type="paragraph" w:styleId="HeaderandFooter">
    <w:name w:val="Header and Footer"/>
    <w:basedOn w:val="Normal"/>
    <w:qFormat/>
    <w:pPr>
      <w:widowControl w:val="false"/>
      <w:bidi w:val="0"/>
      <w:spacing w:before="0" w:after="0"/>
      <w:jc w:val="left"/>
    </w:pPr>
    <w:rPr/>
  </w:style>
  <w:style w:type="paragraph" w:styleId="Style22">
    <w:name w:val="Header"/>
    <w:basedOn w:val="Normal"/>
    <w:pPr>
      <w:widowControl w:val="false"/>
      <w:tabs>
        <w:tab w:val="center" w:pos="4153" w:leader="none"/>
        <w:tab w:val="right" w:pos="8306" w:leader="none"/>
      </w:tabs>
      <w:bidi w:val="0"/>
      <w:snapToGrid w:val="false"/>
      <w:spacing w:before="0" w:after="0"/>
      <w:jc w:val="left"/>
    </w:pPr>
    <w:rPr>
      <w:sz w:val="20"/>
      <w:szCs w:val="20"/>
    </w:rPr>
  </w:style>
  <w:style w:type="paragraph" w:styleId="Style23">
    <w:name w:val="Footer"/>
    <w:basedOn w:val="Normal"/>
    <w:pPr>
      <w:widowControl w:val="false"/>
      <w:tabs>
        <w:tab w:val="center" w:pos="4153" w:leader="none"/>
        <w:tab w:val="right" w:pos="8306" w:leader="none"/>
      </w:tabs>
      <w:bidi w:val="0"/>
      <w:snapToGrid w:val="false"/>
      <w:spacing w:before="0" w:after="0"/>
      <w:jc w:val="left"/>
    </w:pPr>
    <w:rPr>
      <w:sz w:val="20"/>
      <w:szCs w:val="20"/>
    </w:rPr>
  </w:style>
  <w:style w:type="paragraph" w:styleId="ListParagraph">
    <w:name w:val="List Paragraph"/>
    <w:basedOn w:val="Normal"/>
    <w:qFormat/>
    <w:pPr>
      <w:widowControl w:val="false"/>
      <w:bidi w:val="0"/>
      <w:spacing w:before="0" w:after="0"/>
      <w:ind w:left="480" w:right="0" w:hanging="0"/>
      <w:jc w:val="left"/>
    </w:pPr>
    <w:rPr>
      <w:rFonts w:ascii="Calibri" w:hAnsi="Calibri" w:eastAsia="新細明體" w:cs="Times New Roman"/>
    </w:rPr>
  </w:style>
  <w:style w:type="paragraph" w:styleId="BalloonText">
    <w:name w:val="Balloon Text"/>
    <w:basedOn w:val="Normal"/>
    <w:qFormat/>
    <w:pPr>
      <w:widowControl w:val="false"/>
      <w:bidi w:val="0"/>
      <w:spacing w:before="0" w:after="0"/>
      <w:jc w:val="left"/>
    </w:pPr>
    <w:rPr>
      <w:rFonts w:ascii="Cambria" w:hAnsi="Cambria" w:eastAsia="新細明體" w:cs="Tahoma"/>
      <w:sz w:val="18"/>
      <w:szCs w:val="18"/>
    </w:rPr>
  </w:style>
  <w:style w:type="paragraph" w:styleId="Style24">
    <w:name w:val="表格內容"/>
    <w:basedOn w:val="Normal"/>
    <w:qFormat/>
    <w:pPr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LibreOffice/5.3.6.1$Windows_x86 LibreOffice_project/686f202eff87ef707079aeb7f485847613344eb7</Application>
  <Pages>10</Pages>
  <Words>3341</Words>
  <Characters>3696</Characters>
  <CharactersWithSpaces>3847</CharactersWithSpaces>
  <Paragraphs>219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2020-09-30T02:33:00Z</dcterms:created>
  <dc:creator>user</dc:creator>
  <dc:description/>
  <dc:language>zh-TW</dc:language>
  <cp:lastModifiedBy/>
  <cp:lastPrinted>2018-05-23T02:28:00Z</cp:lastPrinted>
  <dcterms:modified xsi:type="dcterms:W3CDTF">2020-10-10T11:23:18Z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