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6A897" w14:textId="77777777" w:rsidR="008869A1" w:rsidRDefault="00720F45">
      <w:pPr>
        <w:pStyle w:val="22-K"/>
        <w:jc w:val="center"/>
      </w:pPr>
      <w:r>
        <w:rPr>
          <w:rFonts w:ascii="標楷體" w:hAnsi="標楷體" w:cs="標楷體"/>
          <w:sz w:val="32"/>
        </w:rPr>
        <w:t>澎湖</w:t>
      </w:r>
      <w:r>
        <w:rPr>
          <w:rFonts w:ascii="標楷體" w:hAnsi="標楷體"/>
          <w:sz w:val="32"/>
        </w:rPr>
        <w:t>縣七美鄉公墓設施概況編製說明</w:t>
      </w:r>
    </w:p>
    <w:p w14:paraId="0EAE6A6C" w14:textId="77777777" w:rsidR="008869A1" w:rsidRDefault="00720F45">
      <w:pPr>
        <w:pStyle w:val="Standard"/>
      </w:pPr>
      <w:r>
        <w:rPr>
          <w:rFonts w:ascii="標楷體" w:eastAsia="標楷體" w:hAnsi="標楷體"/>
        </w:rPr>
        <w:t>一、統計範圍及對象：</w:t>
      </w:r>
      <w:r>
        <w:rPr>
          <w:rFonts w:eastAsia="標楷體"/>
        </w:rPr>
        <w:t>凡本鄉範圍內，依法設置及管理之公私立公墓，</w:t>
      </w:r>
      <w:proofErr w:type="gramStart"/>
      <w:r>
        <w:rPr>
          <w:rFonts w:eastAsia="標楷體"/>
        </w:rPr>
        <w:t>均為統計</w:t>
      </w:r>
      <w:proofErr w:type="gramEnd"/>
      <w:r>
        <w:rPr>
          <w:rFonts w:eastAsia="標楷體"/>
        </w:rPr>
        <w:t>對象。</w:t>
      </w:r>
    </w:p>
    <w:p w14:paraId="5435623D" w14:textId="77777777" w:rsidR="008869A1" w:rsidRDefault="00720F45">
      <w:pPr>
        <w:pStyle w:val="Standard"/>
      </w:pPr>
      <w:r>
        <w:rPr>
          <w:rFonts w:ascii="標楷體" w:eastAsia="標楷體" w:hAnsi="標楷體"/>
        </w:rPr>
        <w:t>二、統計標準時間：動態資料以當年</w:t>
      </w:r>
      <w:r>
        <w:rPr>
          <w:rFonts w:ascii="標楷體" w:eastAsia="標楷體" w:hAnsi="標楷體"/>
        </w:rPr>
        <w:t>1</w:t>
      </w:r>
      <w:r>
        <w:rPr>
          <w:rFonts w:ascii="標楷體" w:eastAsia="標楷體" w:hAnsi="標楷體"/>
        </w:rPr>
        <w:t>月至</w:t>
      </w:r>
      <w:r>
        <w:rPr>
          <w:rFonts w:ascii="標楷體" w:eastAsia="標楷體" w:hAnsi="標楷體"/>
        </w:rPr>
        <w:t>12</w:t>
      </w:r>
      <w:r>
        <w:rPr>
          <w:rFonts w:ascii="標楷體" w:eastAsia="標楷體" w:hAnsi="標楷體"/>
        </w:rPr>
        <w:t>月之事實為</w:t>
      </w:r>
      <w:proofErr w:type="gramStart"/>
      <w:r>
        <w:rPr>
          <w:rFonts w:ascii="標楷體" w:eastAsia="標楷體" w:hAnsi="標楷體"/>
        </w:rPr>
        <w:t>準</w:t>
      </w:r>
      <w:proofErr w:type="gramEnd"/>
      <w:r>
        <w:rPr>
          <w:rFonts w:ascii="標楷體" w:eastAsia="標楷體" w:hAnsi="標楷體"/>
        </w:rPr>
        <w:t>；靜態資料以當年</w:t>
      </w:r>
      <w:r>
        <w:rPr>
          <w:rFonts w:ascii="標楷體" w:eastAsia="標楷體" w:hAnsi="標楷體"/>
        </w:rPr>
        <w:t>12</w:t>
      </w:r>
      <w:r>
        <w:rPr>
          <w:rFonts w:ascii="標楷體" w:eastAsia="標楷體" w:hAnsi="標楷體"/>
        </w:rPr>
        <w:t>月底之事實為</w:t>
      </w:r>
      <w:proofErr w:type="gramStart"/>
      <w:r>
        <w:rPr>
          <w:rFonts w:ascii="標楷體" w:eastAsia="標楷體" w:hAnsi="標楷體"/>
        </w:rPr>
        <w:t>準</w:t>
      </w:r>
      <w:proofErr w:type="gramEnd"/>
      <w:r>
        <w:rPr>
          <w:rFonts w:ascii="標楷體" w:eastAsia="標楷體" w:hAnsi="標楷體"/>
        </w:rPr>
        <w:t>。</w:t>
      </w:r>
    </w:p>
    <w:p w14:paraId="1F06900F" w14:textId="77777777" w:rsidR="008869A1" w:rsidRDefault="00720F45">
      <w:pPr>
        <w:pStyle w:val="Standard"/>
      </w:pPr>
      <w:r>
        <w:rPr>
          <w:rFonts w:ascii="標楷體" w:eastAsia="標楷體" w:hAnsi="標楷體"/>
        </w:rPr>
        <w:t>三、分類標準：</w:t>
      </w:r>
      <w:proofErr w:type="gramStart"/>
      <w:r>
        <w:rPr>
          <w:rFonts w:ascii="標楷體" w:eastAsia="標楷體" w:hAnsi="標楷體" w:cs="標楷體"/>
        </w:rPr>
        <w:t>橫項依</w:t>
      </w:r>
      <w:proofErr w:type="gramEnd"/>
      <w:r>
        <w:rPr>
          <w:rFonts w:ascii="標楷體" w:eastAsia="標楷體" w:hAnsi="標楷體" w:cs="標楷體"/>
        </w:rPr>
        <w:t>「</w:t>
      </w:r>
      <w:r>
        <w:rPr>
          <w:rFonts w:ascii="標楷體" w:eastAsia="標楷體" w:hAnsi="標楷體"/>
        </w:rPr>
        <w:t>鄉鎮市區別</w:t>
      </w:r>
      <w:r>
        <w:rPr>
          <w:rFonts w:ascii="標楷體" w:eastAsia="標楷體" w:hAnsi="標楷體" w:cs="標楷體"/>
        </w:rPr>
        <w:t>」</w:t>
      </w:r>
      <w:r>
        <w:rPr>
          <w:rFonts w:ascii="標楷體" w:eastAsia="標楷體" w:hAnsi="標楷體"/>
        </w:rPr>
        <w:t>及「公私立別」</w:t>
      </w:r>
      <w:r>
        <w:rPr>
          <w:rFonts w:ascii="標楷體" w:eastAsia="標楷體" w:hAnsi="標楷體" w:cs="標楷體"/>
        </w:rPr>
        <w:t>分；</w:t>
      </w:r>
      <w:proofErr w:type="gramStart"/>
      <w:r>
        <w:rPr>
          <w:rFonts w:ascii="標楷體" w:eastAsia="標楷體" w:hAnsi="標楷體" w:cs="標楷體"/>
        </w:rPr>
        <w:t>縱項依</w:t>
      </w:r>
      <w:proofErr w:type="gramEnd"/>
      <w:r>
        <w:rPr>
          <w:rFonts w:ascii="標楷體" w:eastAsia="標楷體" w:hAnsi="標楷體" w:cs="標楷體"/>
        </w:rPr>
        <w:t>「</w:t>
      </w:r>
      <w:r>
        <w:rPr>
          <w:rFonts w:eastAsia="標楷體"/>
        </w:rPr>
        <w:t>經規劃並啟用者</w:t>
      </w:r>
      <w:r>
        <w:rPr>
          <w:rFonts w:ascii="標楷體" w:eastAsia="標楷體" w:hAnsi="標楷體" w:cs="標楷體"/>
        </w:rPr>
        <w:t>」及「</w:t>
      </w:r>
      <w:r>
        <w:rPr>
          <w:rFonts w:eastAsia="標楷體"/>
        </w:rPr>
        <w:t>未經規劃者</w:t>
      </w:r>
      <w:r>
        <w:rPr>
          <w:rFonts w:ascii="標楷體" w:eastAsia="標楷體" w:hAnsi="標楷體" w:cs="標楷體"/>
        </w:rPr>
        <w:t>」分。</w:t>
      </w:r>
    </w:p>
    <w:p w14:paraId="59D15761" w14:textId="77777777" w:rsidR="008869A1" w:rsidRDefault="00720F45">
      <w:pPr>
        <w:pStyle w:val="Standard"/>
      </w:pPr>
      <w:r>
        <w:rPr>
          <w:rFonts w:ascii="標楷體" w:eastAsia="標楷體" w:hAnsi="標楷體"/>
        </w:rPr>
        <w:t>四、統計項目定義：</w:t>
      </w:r>
    </w:p>
    <w:p w14:paraId="4F120C77" w14:textId="77777777" w:rsidR="008869A1" w:rsidRDefault="00720F45">
      <w:pPr>
        <w:pStyle w:val="Standard"/>
        <w:ind w:left="476"/>
      </w:pPr>
      <w:r>
        <w:rPr>
          <w:rFonts w:eastAsia="標楷體"/>
        </w:rPr>
        <w:t>（一）公墓：係指公立或私立供</w:t>
      </w:r>
      <w:proofErr w:type="gramStart"/>
      <w:r>
        <w:rPr>
          <w:rFonts w:eastAsia="標楷體"/>
        </w:rPr>
        <w:t>公眾營葬屍體</w:t>
      </w:r>
      <w:proofErr w:type="gramEnd"/>
      <w:r>
        <w:rPr>
          <w:rFonts w:eastAsia="標楷體"/>
        </w:rPr>
        <w:t>、埋藏骨灰或</w:t>
      </w:r>
      <w:proofErr w:type="gramStart"/>
      <w:r>
        <w:rPr>
          <w:rFonts w:eastAsia="標楷體"/>
        </w:rPr>
        <w:t>供樹葬</w:t>
      </w:r>
      <w:proofErr w:type="gramEnd"/>
      <w:r>
        <w:rPr>
          <w:rFonts w:eastAsia="標楷體"/>
        </w:rPr>
        <w:t>之設施（含已禁葬公墓）。</w:t>
      </w:r>
    </w:p>
    <w:p w14:paraId="0274FE1C" w14:textId="77777777" w:rsidR="008869A1" w:rsidRDefault="00720F45">
      <w:pPr>
        <w:pStyle w:val="Standard"/>
        <w:ind w:left="490"/>
        <w:rPr>
          <w:rFonts w:eastAsia="標楷體"/>
        </w:rPr>
      </w:pPr>
      <w:r>
        <w:rPr>
          <w:rFonts w:eastAsia="標楷體"/>
        </w:rPr>
        <w:t>（二）經規劃：已</w:t>
      </w:r>
      <w:proofErr w:type="gramStart"/>
      <w:r>
        <w:rPr>
          <w:rFonts w:eastAsia="標楷體"/>
        </w:rPr>
        <w:t>完成墓基</w:t>
      </w:r>
      <w:proofErr w:type="gramEnd"/>
      <w:r>
        <w:rPr>
          <w:rFonts w:eastAsia="標楷體"/>
        </w:rPr>
        <w:t>、對外通道、公共衛生設備、排水系統、墓道標誌、停車場及其他必要之設施者。</w:t>
      </w:r>
    </w:p>
    <w:p w14:paraId="5D453995" w14:textId="77777777" w:rsidR="008869A1" w:rsidRDefault="00720F45">
      <w:pPr>
        <w:pStyle w:val="Standard"/>
        <w:ind w:left="504"/>
        <w:rPr>
          <w:rFonts w:eastAsia="標楷體"/>
        </w:rPr>
      </w:pPr>
      <w:r>
        <w:rPr>
          <w:rFonts w:eastAsia="標楷體"/>
        </w:rPr>
        <w:t>（三）未經規劃：指未具備前（二）項之各種公共設施。</w:t>
      </w:r>
    </w:p>
    <w:p w14:paraId="43BEF8ED" w14:textId="77777777" w:rsidR="008869A1" w:rsidRDefault="00720F45">
      <w:pPr>
        <w:pStyle w:val="Standard"/>
        <w:ind w:left="1694" w:hanging="1190"/>
        <w:rPr>
          <w:rFonts w:eastAsia="標楷體"/>
        </w:rPr>
      </w:pPr>
      <w:r>
        <w:rPr>
          <w:rFonts w:eastAsia="標楷體"/>
        </w:rPr>
        <w:t>（四）開放中：係指設施營運中，受理民眾申請埋葬或骨灰（</w:t>
      </w:r>
      <w:proofErr w:type="gramStart"/>
      <w:r>
        <w:rPr>
          <w:rFonts w:eastAsia="標楷體"/>
        </w:rPr>
        <w:t>骸</w:t>
      </w:r>
      <w:proofErr w:type="gramEnd"/>
      <w:r>
        <w:rPr>
          <w:rFonts w:eastAsia="標楷體"/>
        </w:rPr>
        <w:t>）存放。</w:t>
      </w:r>
    </w:p>
    <w:p w14:paraId="106066E1" w14:textId="77777777" w:rsidR="008869A1" w:rsidRDefault="00720F45">
      <w:pPr>
        <w:pStyle w:val="Standard"/>
        <w:ind w:left="1694" w:hanging="1204"/>
      </w:pPr>
      <w:r>
        <w:rPr>
          <w:rFonts w:eastAsia="標楷體"/>
        </w:rPr>
        <w:t>（五）已停用：</w:t>
      </w:r>
      <w:bookmarkStart w:id="0" w:name="OLE_LINK1"/>
      <w:bookmarkStart w:id="1" w:name="OLE_LINK2"/>
      <w:r>
        <w:rPr>
          <w:rFonts w:eastAsia="標楷體"/>
        </w:rPr>
        <w:t>係指設施</w:t>
      </w:r>
      <w:bookmarkEnd w:id="0"/>
      <w:bookmarkEnd w:id="1"/>
      <w:r>
        <w:rPr>
          <w:rFonts w:eastAsia="標楷體"/>
        </w:rPr>
        <w:t>已</w:t>
      </w:r>
      <w:proofErr w:type="gramStart"/>
      <w:r>
        <w:rPr>
          <w:rFonts w:eastAsia="標楷體"/>
        </w:rPr>
        <w:t>禁葬或不再</w:t>
      </w:r>
      <w:proofErr w:type="gramEnd"/>
      <w:r>
        <w:rPr>
          <w:rFonts w:eastAsia="標楷體"/>
        </w:rPr>
        <w:t>提供骨灰（</w:t>
      </w:r>
      <w:proofErr w:type="gramStart"/>
      <w:r>
        <w:rPr>
          <w:rFonts w:eastAsia="標楷體"/>
        </w:rPr>
        <w:t>骸</w:t>
      </w:r>
      <w:proofErr w:type="gramEnd"/>
      <w:r>
        <w:rPr>
          <w:rFonts w:eastAsia="標楷體"/>
        </w:rPr>
        <w:t>）存放服務。</w:t>
      </w:r>
    </w:p>
    <w:p w14:paraId="5D5783DA" w14:textId="77777777" w:rsidR="008869A1" w:rsidRDefault="00720F45">
      <w:pPr>
        <w:pStyle w:val="Standard"/>
        <w:ind w:left="1694" w:hanging="1218"/>
      </w:pPr>
      <w:r>
        <w:rPr>
          <w:rFonts w:eastAsia="標楷體"/>
        </w:rPr>
        <w:t>（六）年底可</w:t>
      </w:r>
      <w:proofErr w:type="gramStart"/>
      <w:r>
        <w:rPr>
          <w:rFonts w:eastAsia="標楷體"/>
        </w:rPr>
        <w:t>使用墓基總數</w:t>
      </w:r>
      <w:proofErr w:type="gramEnd"/>
      <w:r>
        <w:rPr>
          <w:rFonts w:eastAsia="標楷體"/>
        </w:rPr>
        <w:t>：指當年底公墓內可供埋葬</w:t>
      </w:r>
      <w:proofErr w:type="gramStart"/>
      <w:r>
        <w:rPr>
          <w:rFonts w:eastAsia="標楷體"/>
        </w:rPr>
        <w:t>之總墓基座</w:t>
      </w:r>
      <w:proofErr w:type="gramEnd"/>
      <w:r>
        <w:rPr>
          <w:rFonts w:eastAsia="標楷體"/>
        </w:rPr>
        <w:t>數。</w:t>
      </w:r>
    </w:p>
    <w:p w14:paraId="016A324B" w14:textId="77777777" w:rsidR="008869A1" w:rsidRDefault="00720F45">
      <w:pPr>
        <w:pStyle w:val="Standard"/>
        <w:ind w:left="1694" w:hanging="1162"/>
      </w:pPr>
      <w:r>
        <w:rPr>
          <w:rFonts w:eastAsia="標楷體"/>
        </w:rPr>
        <w:t>（七）</w:t>
      </w:r>
      <w:proofErr w:type="gramStart"/>
      <w:r>
        <w:rPr>
          <w:rFonts w:eastAsia="標楷體"/>
        </w:rPr>
        <w:t>本年墓基使用</w:t>
      </w:r>
      <w:proofErr w:type="gramEnd"/>
      <w:r>
        <w:rPr>
          <w:rFonts w:eastAsia="標楷體"/>
        </w:rPr>
        <w:t>數：指公墓內本年實際埋葬使用之墓基座數。</w:t>
      </w:r>
    </w:p>
    <w:p w14:paraId="62181088" w14:textId="77777777" w:rsidR="008869A1" w:rsidRDefault="00720F45">
      <w:pPr>
        <w:pStyle w:val="Standard"/>
        <w:ind w:left="1694" w:hanging="1204"/>
      </w:pPr>
      <w:r>
        <w:rPr>
          <w:rFonts w:eastAsia="標楷體"/>
        </w:rPr>
        <w:t>（八）年底尚未使用墓基數：指當年底公墓內可供埋葬使用之墓基座數。</w:t>
      </w:r>
    </w:p>
    <w:p w14:paraId="503F0E78" w14:textId="77777777" w:rsidR="008869A1" w:rsidRDefault="00720F45">
      <w:pPr>
        <w:pStyle w:val="Standard"/>
        <w:ind w:left="1694" w:hanging="1190"/>
      </w:pPr>
      <w:r>
        <w:rPr>
          <w:rFonts w:eastAsia="標楷體"/>
        </w:rPr>
        <w:t>（九）年底土地面積</w:t>
      </w:r>
      <w:r>
        <w:rPr>
          <w:rFonts w:eastAsia="標楷體"/>
        </w:rPr>
        <w:t>=</w:t>
      </w:r>
      <w:r>
        <w:rPr>
          <w:rFonts w:eastAsia="標楷體"/>
        </w:rPr>
        <w:t>年底已使用面積</w:t>
      </w:r>
      <w:r>
        <w:rPr>
          <w:rFonts w:eastAsia="標楷體"/>
        </w:rPr>
        <w:t>+</w:t>
      </w:r>
      <w:r>
        <w:rPr>
          <w:rFonts w:eastAsia="標楷體"/>
        </w:rPr>
        <w:t>年底未使用面積。</w:t>
      </w:r>
    </w:p>
    <w:p w14:paraId="1E1AE777" w14:textId="77777777" w:rsidR="008869A1" w:rsidRDefault="00720F45">
      <w:pPr>
        <w:pStyle w:val="Standard"/>
        <w:ind w:left="1694" w:hanging="1190"/>
      </w:pPr>
      <w:r>
        <w:rPr>
          <w:rFonts w:eastAsia="標楷體"/>
        </w:rPr>
        <w:t>（十）年底可</w:t>
      </w:r>
      <w:proofErr w:type="gramStart"/>
      <w:r>
        <w:rPr>
          <w:rFonts w:eastAsia="標楷體"/>
        </w:rPr>
        <w:t>使用墓基總數</w:t>
      </w:r>
      <w:proofErr w:type="gramEnd"/>
      <w:r>
        <w:rPr>
          <w:rFonts w:eastAsia="標楷體"/>
        </w:rPr>
        <w:t>=</w:t>
      </w:r>
      <w:r>
        <w:rPr>
          <w:rFonts w:eastAsia="標楷體"/>
        </w:rPr>
        <w:t>年底已使用墓基數</w:t>
      </w:r>
      <w:r>
        <w:rPr>
          <w:rFonts w:eastAsia="標楷體"/>
        </w:rPr>
        <w:t>+</w:t>
      </w:r>
      <w:r>
        <w:rPr>
          <w:rFonts w:eastAsia="標楷體"/>
        </w:rPr>
        <w:t>年底尚未使用墓基數。</w:t>
      </w:r>
    </w:p>
    <w:p w14:paraId="092E79DB" w14:textId="77777777" w:rsidR="008869A1" w:rsidRDefault="00720F45">
      <w:pPr>
        <w:pStyle w:val="Standard"/>
        <w:spacing w:line="360" w:lineRule="exact"/>
        <w:ind w:left="1694" w:hanging="1162"/>
      </w:pPr>
      <w:r>
        <w:rPr>
          <w:rFonts w:eastAsia="標楷體"/>
        </w:rPr>
        <w:t>（十一）本年埋葬</w:t>
      </w:r>
      <w:r>
        <w:rPr>
          <w:rFonts w:ascii="標楷體" w:eastAsia="標楷體" w:hAnsi="標楷體" w:cs="標楷體"/>
        </w:rPr>
        <w:t>數</w:t>
      </w:r>
      <w:proofErr w:type="gramStart"/>
      <w:r>
        <w:rPr>
          <w:rFonts w:ascii="標楷體" w:eastAsia="標楷體" w:hAnsi="標楷體" w:cs="標楷體"/>
        </w:rPr>
        <w:t>≧</w:t>
      </w:r>
      <w:r>
        <w:rPr>
          <w:rFonts w:eastAsia="標楷體"/>
        </w:rPr>
        <w:t>本年墓基使用</w:t>
      </w:r>
      <w:proofErr w:type="gramEnd"/>
      <w:r>
        <w:rPr>
          <w:rFonts w:eastAsia="標楷體"/>
        </w:rPr>
        <w:t>數。</w:t>
      </w:r>
    </w:p>
    <w:p w14:paraId="57056DD2" w14:textId="77777777" w:rsidR="008869A1" w:rsidRDefault="00720F45">
      <w:pPr>
        <w:pStyle w:val="Standard"/>
        <w:ind w:left="1694" w:hanging="1162"/>
      </w:pPr>
      <w:r>
        <w:rPr>
          <w:rFonts w:eastAsia="標楷體"/>
        </w:rPr>
        <w:t>（十二）本年遷出數：</w:t>
      </w:r>
      <w:proofErr w:type="gramStart"/>
      <w:r>
        <w:rPr>
          <w:rFonts w:eastAsia="標楷體"/>
        </w:rPr>
        <w:t>指撿骨</w:t>
      </w:r>
      <w:proofErr w:type="gramEnd"/>
      <w:r>
        <w:rPr>
          <w:rFonts w:eastAsia="標楷體"/>
        </w:rPr>
        <w:t>或遷至其他骨灰（</w:t>
      </w:r>
      <w:proofErr w:type="gramStart"/>
      <w:r>
        <w:rPr>
          <w:rFonts w:eastAsia="標楷體"/>
        </w:rPr>
        <w:t>骸</w:t>
      </w:r>
      <w:proofErr w:type="gramEnd"/>
      <w:r>
        <w:rPr>
          <w:rFonts w:eastAsia="標楷體"/>
        </w:rPr>
        <w:t>）存放設施安</w:t>
      </w:r>
      <w:proofErr w:type="gramStart"/>
      <w:r>
        <w:rPr>
          <w:rFonts w:eastAsia="標楷體"/>
        </w:rPr>
        <w:t>厝</w:t>
      </w:r>
      <w:proofErr w:type="gramEnd"/>
      <w:r>
        <w:rPr>
          <w:rFonts w:eastAsia="標楷體"/>
        </w:rPr>
        <w:t>。</w:t>
      </w:r>
    </w:p>
    <w:p w14:paraId="0652F206" w14:textId="77777777" w:rsidR="008869A1" w:rsidRDefault="00720F45">
      <w:pPr>
        <w:pStyle w:val="Textbodyindent"/>
        <w:rPr>
          <w:rFonts w:ascii="標楷體" w:hAnsi="標楷體"/>
          <w:sz w:val="24"/>
        </w:rPr>
      </w:pPr>
      <w:r>
        <w:rPr>
          <w:rFonts w:ascii="標楷體" w:hAnsi="標楷體"/>
          <w:sz w:val="24"/>
        </w:rPr>
        <w:t>五、資料蒐集方法及編製程序：依據本所資料彙編。</w:t>
      </w:r>
    </w:p>
    <w:p w14:paraId="371B96C3" w14:textId="77777777" w:rsidR="008869A1" w:rsidRDefault="00720F45">
      <w:pPr>
        <w:pStyle w:val="Standard"/>
        <w:ind w:left="490" w:hanging="490"/>
      </w:pPr>
      <w:r>
        <w:rPr>
          <w:rFonts w:ascii="標楷體" w:eastAsia="標楷體" w:hAnsi="標楷體" w:cs="標楷體"/>
        </w:rPr>
        <w:t>六、編送對象：</w:t>
      </w:r>
      <w:proofErr w:type="gramStart"/>
      <w:r>
        <w:rPr>
          <w:rFonts w:ascii="標楷體" w:eastAsia="標楷體" w:hAnsi="標楷體" w:cs="標楷體"/>
          <w:szCs w:val="24"/>
        </w:rPr>
        <w:t>本表編製</w:t>
      </w:r>
      <w:proofErr w:type="gramEnd"/>
      <w:r>
        <w:rPr>
          <w:rFonts w:ascii="標楷體" w:eastAsia="標楷體" w:hAnsi="標楷體" w:cs="標楷體"/>
          <w:szCs w:val="24"/>
        </w:rPr>
        <w:t>3</w:t>
      </w:r>
      <w:r>
        <w:rPr>
          <w:rFonts w:ascii="標楷體" w:eastAsia="標楷體" w:hAnsi="標楷體" w:cs="標楷體"/>
          <w:szCs w:val="24"/>
        </w:rPr>
        <w:t>份，於完成會核程序並經機關長官核章後，</w:t>
      </w:r>
      <w:r>
        <w:rPr>
          <w:rFonts w:ascii="標楷體" w:eastAsia="標楷體" w:hAnsi="標楷體" w:cs="標楷體"/>
          <w:szCs w:val="24"/>
        </w:rPr>
        <w:t>1</w:t>
      </w:r>
      <w:r>
        <w:rPr>
          <w:rFonts w:ascii="標楷體" w:eastAsia="標楷體" w:hAnsi="標楷體" w:cs="標楷體"/>
          <w:szCs w:val="24"/>
        </w:rPr>
        <w:t>份送主計室，</w:t>
      </w:r>
      <w:r>
        <w:rPr>
          <w:rFonts w:ascii="標楷體" w:eastAsia="標楷體" w:hAnsi="標楷體" w:cs="標楷體"/>
          <w:szCs w:val="24"/>
        </w:rPr>
        <w:t>1</w:t>
      </w:r>
      <w:r>
        <w:rPr>
          <w:rFonts w:ascii="標楷體" w:eastAsia="標楷體" w:hAnsi="標楷體" w:cs="標楷體"/>
          <w:szCs w:val="24"/>
        </w:rPr>
        <w:t>份自存，</w:t>
      </w:r>
      <w:r>
        <w:rPr>
          <w:rFonts w:ascii="標楷體" w:eastAsia="標楷體" w:hAnsi="標楷體" w:cs="標楷體"/>
          <w:szCs w:val="24"/>
        </w:rPr>
        <w:t>1</w:t>
      </w:r>
      <w:r>
        <w:rPr>
          <w:rFonts w:ascii="標楷體" w:eastAsia="標楷體" w:hAnsi="標楷體" w:cs="標楷體"/>
          <w:szCs w:val="24"/>
        </w:rPr>
        <w:t>份送縣府民政處。</w:t>
      </w:r>
    </w:p>
    <w:p w14:paraId="387394BA" w14:textId="77777777" w:rsidR="008869A1" w:rsidRDefault="008869A1">
      <w:pPr>
        <w:pStyle w:val="Standard"/>
        <w:rPr>
          <w:rFonts w:ascii="標楷體" w:eastAsia="標楷體" w:hAnsi="標楷體" w:cs="標楷體"/>
        </w:rPr>
      </w:pPr>
    </w:p>
    <w:sectPr w:rsidR="008869A1">
      <w:pgSz w:w="16838" w:h="11906" w:orient="landscape"/>
      <w:pgMar w:top="1134" w:right="1134" w:bottom="1134" w:left="1134" w:header="720" w:footer="720" w:gutter="0"/>
      <w:cols w:space="720"/>
      <w:docGrid w:type="lines" w:linePitch="3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01194" w14:textId="77777777" w:rsidR="00720F45" w:rsidRDefault="00720F45">
      <w:r>
        <w:separator/>
      </w:r>
    </w:p>
  </w:endnote>
  <w:endnote w:type="continuationSeparator" w:id="0">
    <w:p w14:paraId="72E20AEF" w14:textId="77777777" w:rsidR="00720F45" w:rsidRDefault="00720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, PMingLiU">
    <w:charset w:val="00"/>
    <w:family w:val="roman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DF197" w14:textId="77777777" w:rsidR="00720F45" w:rsidRDefault="00720F45">
      <w:r>
        <w:rPr>
          <w:color w:val="000000"/>
        </w:rPr>
        <w:separator/>
      </w:r>
    </w:p>
  </w:footnote>
  <w:footnote w:type="continuationSeparator" w:id="0">
    <w:p w14:paraId="5890DCAD" w14:textId="77777777" w:rsidR="00720F45" w:rsidRDefault="00720F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12528"/>
    <w:multiLevelType w:val="multilevel"/>
    <w:tmpl w:val="46E05840"/>
    <w:styleLink w:val="WW8Num1"/>
    <w:lvl w:ilvl="0">
      <w:start w:val="1"/>
      <w:numFmt w:val="decimal"/>
      <w:lvlText w:val="%1."/>
      <w:lvlJc w:val="left"/>
      <w:pPr>
        <w:ind w:left="1757" w:hanging="340"/>
      </w:pPr>
    </w:lvl>
    <w:lvl w:ilvl="1">
      <w:start w:val="1"/>
      <w:numFmt w:val="ideographTraditional"/>
      <w:lvlText w:val="、"/>
      <w:lvlJc w:val="left"/>
      <w:pPr>
        <w:ind w:left="2377" w:hanging="480"/>
      </w:pPr>
    </w:lvl>
    <w:lvl w:ilvl="2">
      <w:start w:val="1"/>
      <w:numFmt w:val="lowerRoman"/>
      <w:lvlText w:val="."/>
      <w:lvlJc w:val="right"/>
      <w:pPr>
        <w:ind w:left="2857" w:hanging="480"/>
      </w:pPr>
    </w:lvl>
    <w:lvl w:ilvl="3">
      <w:start w:val="1"/>
      <w:numFmt w:val="decimal"/>
      <w:lvlText w:val="."/>
      <w:lvlJc w:val="left"/>
      <w:pPr>
        <w:ind w:left="3337" w:hanging="480"/>
      </w:pPr>
    </w:lvl>
    <w:lvl w:ilvl="4">
      <w:start w:val="1"/>
      <w:numFmt w:val="ideographTraditional"/>
      <w:lvlText w:val="、"/>
      <w:lvlJc w:val="left"/>
      <w:pPr>
        <w:ind w:left="3817" w:hanging="480"/>
      </w:pPr>
    </w:lvl>
    <w:lvl w:ilvl="5">
      <w:start w:val="1"/>
      <w:numFmt w:val="lowerRoman"/>
      <w:lvlText w:val="."/>
      <w:lvlJc w:val="right"/>
      <w:pPr>
        <w:ind w:left="4297" w:hanging="480"/>
      </w:pPr>
    </w:lvl>
    <w:lvl w:ilvl="6">
      <w:start w:val="1"/>
      <w:numFmt w:val="decimal"/>
      <w:lvlText w:val="."/>
      <w:lvlJc w:val="left"/>
      <w:pPr>
        <w:ind w:left="4777" w:hanging="480"/>
      </w:pPr>
    </w:lvl>
    <w:lvl w:ilvl="7">
      <w:start w:val="1"/>
      <w:numFmt w:val="ideographTraditional"/>
      <w:lvlText w:val="、"/>
      <w:lvlJc w:val="left"/>
      <w:pPr>
        <w:ind w:left="5257" w:hanging="480"/>
      </w:pPr>
    </w:lvl>
    <w:lvl w:ilvl="8">
      <w:start w:val="1"/>
      <w:numFmt w:val="lowerRoman"/>
      <w:lvlText w:val="."/>
      <w:lvlJc w:val="right"/>
      <w:pPr>
        <w:ind w:left="5737" w:hanging="480"/>
      </w:pPr>
    </w:lvl>
  </w:abstractNum>
  <w:num w:numId="1" w16cid:durableId="2023849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869A1"/>
    <w:rsid w:val="00720F45"/>
    <w:rsid w:val="008869A1"/>
    <w:rsid w:val="00CB1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FADDA"/>
  <w15:docId w15:val="{909F8AFF-1448-441A-80BD-6E8096558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新細明體" w:hAnsi="Liberation Serif" w:cs="Mangal"/>
        <w:kern w:val="3"/>
        <w:sz w:val="24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Times New Roman" w:eastAsia="新細明體, PMingLiU" w:hAnsi="Times New Roman" w:cs="Times New Roman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22-K">
    <w:name w:val="22-K"/>
    <w:basedOn w:val="Standard"/>
    <w:rPr>
      <w:rFonts w:eastAsia="標楷體"/>
      <w:sz w:val="44"/>
    </w:rPr>
  </w:style>
  <w:style w:type="paragraph" w:customStyle="1" w:styleId="Textbodyindent">
    <w:name w:val="Text body indent"/>
    <w:basedOn w:val="Standard"/>
    <w:pPr>
      <w:ind w:left="680" w:hanging="680"/>
    </w:pPr>
    <w:rPr>
      <w:rFonts w:eastAsia="標楷體"/>
      <w:sz w:val="32"/>
    </w:rPr>
  </w:style>
  <w:style w:type="paragraph" w:styleId="3">
    <w:name w:val="Body Text Indent 3"/>
    <w:basedOn w:val="Standard"/>
    <w:pPr>
      <w:spacing w:after="120"/>
      <w:ind w:left="480"/>
    </w:pPr>
    <w:rPr>
      <w:sz w:val="16"/>
      <w:szCs w:val="16"/>
    </w:rPr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頁首 字元"/>
    <w:rPr>
      <w:kern w:val="3"/>
    </w:rPr>
  </w:style>
  <w:style w:type="character" w:customStyle="1" w:styleId="a8">
    <w:name w:val="頁尾 字元"/>
    <w:rPr>
      <w:kern w:val="3"/>
    </w:rPr>
  </w:style>
  <w:style w:type="numbering" w:customStyle="1" w:styleId="WW8Num1">
    <w:name w:val="WW8Num1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直轄市、縣（市）公共造產成果編製說明</dc:title>
  <dc:creator>moist201</dc:creator>
  <cp:lastModifiedBy>王立言</cp:lastModifiedBy>
  <cp:revision>2</cp:revision>
  <cp:lastPrinted>2025-04-21T02:24:00Z</cp:lastPrinted>
  <dcterms:created xsi:type="dcterms:W3CDTF">2025-04-24T01:48:00Z</dcterms:created>
  <dcterms:modified xsi:type="dcterms:W3CDTF">2025-04-24T01:48:00Z</dcterms:modified>
</cp:coreProperties>
</file>