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harts/chart4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94B" w:rsidRPr="009B269B" w:rsidRDefault="005F68A7" w:rsidP="005F68A7">
      <w:pPr>
        <w:spacing w:before="180"/>
        <w:jc w:val="center"/>
        <w:rPr>
          <w:rFonts w:ascii="標楷體" w:eastAsia="標楷體" w:hAnsi="標楷體" w:hint="eastAsia"/>
          <w:b/>
          <w:sz w:val="48"/>
          <w:szCs w:val="48"/>
        </w:rPr>
      </w:pPr>
      <w:r w:rsidRPr="009B269B">
        <w:rPr>
          <w:rFonts w:ascii="標楷體" w:eastAsia="標楷體" w:hAnsi="標楷體" w:hint="eastAsia"/>
          <w:b/>
          <w:sz w:val="48"/>
          <w:szCs w:val="48"/>
        </w:rPr>
        <w:t>澎湖縣西嶼鄉統計通報</w:t>
      </w:r>
    </w:p>
    <w:p w:rsidR="005F68A7" w:rsidRPr="009B269B" w:rsidRDefault="005F68A7" w:rsidP="005F68A7">
      <w:pPr>
        <w:spacing w:before="180"/>
        <w:jc w:val="center"/>
        <w:rPr>
          <w:rFonts w:ascii="標楷體" w:eastAsia="標楷體" w:hAnsi="標楷體" w:hint="eastAsia"/>
          <w:b/>
          <w:sz w:val="48"/>
          <w:szCs w:val="48"/>
        </w:rPr>
      </w:pPr>
      <w:r w:rsidRPr="009B269B">
        <w:rPr>
          <w:rFonts w:ascii="標楷體" w:eastAsia="標楷體" w:hAnsi="標楷體" w:hint="eastAsia"/>
          <w:b/>
          <w:sz w:val="48"/>
          <w:szCs w:val="48"/>
        </w:rPr>
        <w:t>107年7月</w:t>
      </w:r>
    </w:p>
    <w:p w:rsidR="005F68A7" w:rsidRDefault="005F68A7" w:rsidP="005F68A7">
      <w:pPr>
        <w:spacing w:before="180"/>
        <w:jc w:val="center"/>
        <w:rPr>
          <w:rFonts w:ascii="標楷體" w:eastAsia="標楷體" w:hAnsi="標楷體" w:hint="eastAsia"/>
          <w:b/>
          <w:sz w:val="48"/>
          <w:szCs w:val="48"/>
        </w:rPr>
      </w:pPr>
      <w:r w:rsidRPr="009B269B">
        <w:rPr>
          <w:rFonts w:ascii="標楷體" w:eastAsia="標楷體" w:hAnsi="標楷體" w:hint="eastAsia"/>
          <w:b/>
          <w:sz w:val="48"/>
          <w:szCs w:val="48"/>
        </w:rPr>
        <w:t>澎湖縣西嶼鄉資源回收成果概況</w:t>
      </w:r>
    </w:p>
    <w:p w:rsidR="009B269B" w:rsidRPr="009B269B" w:rsidRDefault="009B269B" w:rsidP="005F68A7">
      <w:pPr>
        <w:spacing w:before="180"/>
        <w:jc w:val="center"/>
        <w:rPr>
          <w:rFonts w:ascii="標楷體" w:eastAsia="標楷體" w:hAnsi="標楷體" w:hint="eastAsia"/>
          <w:b/>
          <w:sz w:val="48"/>
          <w:szCs w:val="48"/>
        </w:rPr>
      </w:pPr>
    </w:p>
    <w:p w:rsidR="00882D48" w:rsidRPr="009B269B" w:rsidRDefault="00882D48" w:rsidP="009B269B">
      <w:pPr>
        <w:spacing w:beforeLines="0" w:line="720" w:lineRule="exact"/>
        <w:rPr>
          <w:rFonts w:ascii="標楷體" w:eastAsia="標楷體" w:hAnsi="標楷體" w:hint="eastAsia"/>
          <w:sz w:val="28"/>
          <w:szCs w:val="28"/>
        </w:rPr>
      </w:pPr>
      <w:r w:rsidRPr="009B269B">
        <w:rPr>
          <w:rFonts w:ascii="標楷體" w:eastAsia="標楷體" w:hAnsi="標楷體" w:hint="eastAsia"/>
        </w:rPr>
        <w:t xml:space="preserve">   </w:t>
      </w:r>
      <w:r w:rsidRPr="009B269B">
        <w:rPr>
          <w:rFonts w:ascii="標楷體" w:eastAsia="標楷體" w:hAnsi="標楷體" w:hint="eastAsia"/>
          <w:sz w:val="28"/>
          <w:szCs w:val="28"/>
        </w:rPr>
        <w:t xml:space="preserve"> </w:t>
      </w:r>
      <w:r w:rsidR="005F68A7" w:rsidRPr="009B269B">
        <w:rPr>
          <w:rFonts w:ascii="標楷體" w:eastAsia="標楷體" w:hAnsi="標楷體" w:hint="eastAsia"/>
          <w:sz w:val="28"/>
          <w:szCs w:val="28"/>
        </w:rPr>
        <w:t>隨著社會經濟高度發展，垃圾產生量日益增加，完善的資源回收制度扮演日益重要的角色。全面落實垃圾減量政策並促使資源永續利用，有助於提升生活環境品質。本通報茲就近5年公務統計資料，針對西嶼鄉資源回收成果概況進行簡要分析。</w:t>
      </w:r>
    </w:p>
    <w:p w:rsidR="00882D48" w:rsidRPr="009B269B" w:rsidRDefault="00882D48" w:rsidP="009B269B">
      <w:pPr>
        <w:spacing w:beforeLines="0" w:line="720" w:lineRule="exact"/>
        <w:rPr>
          <w:rFonts w:ascii="標楷體" w:eastAsia="標楷體" w:hAnsi="標楷體" w:hint="eastAsia"/>
          <w:b/>
          <w:sz w:val="28"/>
          <w:szCs w:val="28"/>
        </w:rPr>
      </w:pPr>
      <w:r w:rsidRPr="009B269B">
        <w:rPr>
          <w:rFonts w:ascii="標楷體" w:eastAsia="標楷體" w:hAnsi="標楷體" w:hint="eastAsia"/>
          <w:b/>
          <w:sz w:val="28"/>
          <w:szCs w:val="28"/>
        </w:rPr>
        <w:t>一、106年本鄉垃圾產生量計2,124公噸，依清理方式分，占最多數者為垃圾清運量</w:t>
      </w:r>
      <w:r w:rsidR="00702144" w:rsidRPr="009B269B">
        <w:rPr>
          <w:rFonts w:ascii="標楷體" w:eastAsia="標楷體" w:hAnsi="標楷體" w:hint="eastAsia"/>
          <w:b/>
          <w:sz w:val="28"/>
          <w:szCs w:val="28"/>
        </w:rPr>
        <w:t>計</w:t>
      </w:r>
      <w:r w:rsidRPr="009B269B">
        <w:rPr>
          <w:rFonts w:ascii="標楷體" w:eastAsia="標楷體" w:hAnsi="標楷體" w:hint="eastAsia"/>
          <w:b/>
          <w:sz w:val="28"/>
          <w:szCs w:val="28"/>
        </w:rPr>
        <w:t>1</w:t>
      </w:r>
      <w:r w:rsidR="00702144" w:rsidRPr="009B269B">
        <w:rPr>
          <w:rFonts w:ascii="標楷體" w:eastAsia="標楷體" w:hAnsi="標楷體" w:hint="eastAsia"/>
          <w:b/>
          <w:sz w:val="28"/>
          <w:szCs w:val="28"/>
        </w:rPr>
        <w:t>,</w:t>
      </w:r>
      <w:r w:rsidRPr="009B269B">
        <w:rPr>
          <w:rFonts w:ascii="標楷體" w:eastAsia="標楷體" w:hAnsi="標楷體" w:hint="eastAsia"/>
          <w:b/>
          <w:sz w:val="28"/>
          <w:szCs w:val="28"/>
        </w:rPr>
        <w:t>157公噸（占54.47％）</w:t>
      </w:r>
      <w:r w:rsidR="009B269B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DD091E" w:rsidRPr="009B269B" w:rsidRDefault="00702144" w:rsidP="009B269B">
      <w:pPr>
        <w:spacing w:beforeLines="0" w:line="720" w:lineRule="exact"/>
        <w:rPr>
          <w:rFonts w:ascii="標楷體" w:eastAsia="標楷體" w:hAnsi="標楷體" w:hint="eastAsia"/>
          <w:sz w:val="28"/>
          <w:szCs w:val="28"/>
        </w:rPr>
      </w:pPr>
      <w:r w:rsidRPr="009B269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882D48" w:rsidRPr="009B269B">
        <w:rPr>
          <w:rFonts w:ascii="標楷體" w:eastAsia="標楷體" w:hAnsi="標楷體" w:hint="eastAsia"/>
          <w:sz w:val="28"/>
          <w:szCs w:val="28"/>
        </w:rPr>
        <w:t>106年本鄉垃圾產生量計2</w:t>
      </w:r>
      <w:r w:rsidRPr="009B269B">
        <w:rPr>
          <w:rFonts w:ascii="標楷體" w:eastAsia="標楷體" w:hAnsi="標楷體" w:hint="eastAsia"/>
          <w:sz w:val="28"/>
          <w:szCs w:val="28"/>
        </w:rPr>
        <w:t>,</w:t>
      </w:r>
      <w:r w:rsidR="00882D48" w:rsidRPr="009B269B">
        <w:rPr>
          <w:rFonts w:ascii="標楷體" w:eastAsia="標楷體" w:hAnsi="標楷體" w:hint="eastAsia"/>
          <w:sz w:val="28"/>
          <w:szCs w:val="28"/>
        </w:rPr>
        <w:t>124公噸，其中依清理方式分為垃圾清運、巨大垃圾</w:t>
      </w:r>
      <w:proofErr w:type="gramStart"/>
      <w:r w:rsidR="00882D48" w:rsidRPr="009B269B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="00882D48" w:rsidRPr="009B269B">
        <w:rPr>
          <w:rFonts w:ascii="標楷體" w:eastAsia="標楷體" w:hAnsi="標楷體" w:hint="eastAsia"/>
          <w:sz w:val="28"/>
          <w:szCs w:val="28"/>
        </w:rPr>
        <w:t>衛生掩埋方式處理、廚餘回收及執行機關資源回收。所占比率由高至低分別為垃圾清運量</w:t>
      </w:r>
      <w:r w:rsidR="00924BA6" w:rsidRPr="009B269B">
        <w:rPr>
          <w:rFonts w:ascii="標楷體" w:eastAsia="標楷體" w:hAnsi="標楷體" w:hint="eastAsia"/>
          <w:sz w:val="28"/>
          <w:szCs w:val="28"/>
        </w:rPr>
        <w:t>計1</w:t>
      </w:r>
      <w:r w:rsidRPr="009B269B">
        <w:rPr>
          <w:rFonts w:ascii="標楷體" w:eastAsia="標楷體" w:hAnsi="標楷體" w:hint="eastAsia"/>
          <w:sz w:val="28"/>
          <w:szCs w:val="28"/>
        </w:rPr>
        <w:t>,</w:t>
      </w:r>
      <w:r w:rsidR="00924BA6" w:rsidRPr="009B269B">
        <w:rPr>
          <w:rFonts w:ascii="標楷體" w:eastAsia="標楷體" w:hAnsi="標楷體" w:hint="eastAsia"/>
          <w:sz w:val="28"/>
          <w:szCs w:val="28"/>
        </w:rPr>
        <w:t>157公噸（占54.47％）、執行機關資源回收量計893公噸（占42.05％）、廚餘回收量計62公噸（占2.92％）、巨大垃圾</w:t>
      </w:r>
      <w:proofErr w:type="gramStart"/>
      <w:r w:rsidR="00924BA6" w:rsidRPr="009B269B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="00924BA6" w:rsidRPr="009B269B">
        <w:rPr>
          <w:rFonts w:ascii="標楷體" w:eastAsia="標楷體" w:hAnsi="標楷體" w:hint="eastAsia"/>
          <w:sz w:val="28"/>
          <w:szCs w:val="28"/>
        </w:rPr>
        <w:t>衛生掩埋方式處理量計12公噸（占0.56％）。（詳如圖1）</w:t>
      </w:r>
    </w:p>
    <w:p w:rsidR="00702144" w:rsidRDefault="00702144" w:rsidP="00422618">
      <w:pPr>
        <w:spacing w:before="180"/>
        <w:rPr>
          <w:rFonts w:asciiTheme="minorEastAsia" w:hAnsiTheme="minorEastAsia" w:hint="eastAsia"/>
        </w:rPr>
      </w:pPr>
      <w:r w:rsidRPr="00702144">
        <w:rPr>
          <w:rFonts w:asciiTheme="minorEastAsia" w:hAnsiTheme="minorEastAsia"/>
        </w:rPr>
        <w:lastRenderedPageBreak/>
        <w:drawing>
          <wp:inline distT="0" distB="0" distL="0" distR="0">
            <wp:extent cx="5284470" cy="4937760"/>
            <wp:effectExtent l="19050" t="0" r="0" b="0"/>
            <wp:docPr id="5" name="圖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702144" w:rsidRDefault="00702144" w:rsidP="00422618">
      <w:pPr>
        <w:spacing w:before="180"/>
        <w:rPr>
          <w:rFonts w:asciiTheme="minorEastAsia" w:hAnsiTheme="minorEastAsia" w:hint="eastAsia"/>
        </w:rPr>
      </w:pPr>
    </w:p>
    <w:p w:rsidR="00702144" w:rsidRPr="009B269B" w:rsidRDefault="001C2C6F" w:rsidP="009B269B">
      <w:pPr>
        <w:spacing w:beforeLines="0" w:line="72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Theme="minorEastAsia" w:hAnsiTheme="minorEastAsia" w:hint="eastAsia"/>
        </w:rPr>
        <w:t xml:space="preserve">   </w:t>
      </w:r>
      <w:r w:rsidRPr="009B269B">
        <w:rPr>
          <w:rFonts w:asciiTheme="minorEastAsia" w:hAnsiTheme="minorEastAsia" w:hint="eastAsia"/>
          <w:sz w:val="28"/>
          <w:szCs w:val="28"/>
        </w:rPr>
        <w:t xml:space="preserve"> </w:t>
      </w:r>
      <w:r w:rsidR="00D50203" w:rsidRPr="009B269B">
        <w:rPr>
          <w:rFonts w:ascii="標楷體" w:eastAsia="標楷體" w:hAnsi="標楷體" w:hint="eastAsia"/>
          <w:sz w:val="28"/>
          <w:szCs w:val="28"/>
        </w:rPr>
        <w:t>106年本鄉資源回收占垃圾產生量比率計42.05％，與105年比，增加</w:t>
      </w:r>
      <w:r w:rsidR="00375B54" w:rsidRPr="009B269B">
        <w:rPr>
          <w:rFonts w:ascii="標楷體" w:eastAsia="標楷體" w:hAnsi="標楷體" w:hint="eastAsia"/>
          <w:sz w:val="28"/>
          <w:szCs w:val="28"/>
        </w:rPr>
        <w:t>1.45％。自103年起，本鄉資源回收</w:t>
      </w:r>
      <w:r w:rsidR="008831D5">
        <w:rPr>
          <w:rFonts w:ascii="標楷體" w:eastAsia="標楷體" w:hAnsi="標楷體" w:hint="eastAsia"/>
          <w:sz w:val="28"/>
          <w:szCs w:val="28"/>
        </w:rPr>
        <w:t>占</w:t>
      </w:r>
      <w:r w:rsidR="00375B54" w:rsidRPr="009B269B">
        <w:rPr>
          <w:rFonts w:ascii="標楷體" w:eastAsia="標楷體" w:hAnsi="標楷體" w:hint="eastAsia"/>
          <w:sz w:val="28"/>
          <w:szCs w:val="28"/>
        </w:rPr>
        <w:t>垃圾產生量比率</w:t>
      </w:r>
      <w:r w:rsidR="008831D5">
        <w:rPr>
          <w:rFonts w:ascii="標楷體" w:eastAsia="標楷體" w:hAnsi="標楷體" w:hint="eastAsia"/>
          <w:sz w:val="28"/>
          <w:szCs w:val="28"/>
        </w:rPr>
        <w:t>呈</w:t>
      </w:r>
      <w:r w:rsidR="00375B54" w:rsidRPr="009B269B">
        <w:rPr>
          <w:rFonts w:ascii="標楷體" w:eastAsia="標楷體" w:hAnsi="標楷體" w:hint="eastAsia"/>
          <w:sz w:val="28"/>
          <w:szCs w:val="28"/>
        </w:rPr>
        <w:t>穩定增加趨勢，顯示本鄉資源回收政策落實。（詳如圖2）</w:t>
      </w:r>
    </w:p>
    <w:p w:rsidR="00702144" w:rsidRPr="009B269B" w:rsidRDefault="00702144" w:rsidP="009B269B">
      <w:pPr>
        <w:spacing w:beforeLines="0" w:line="720" w:lineRule="exact"/>
        <w:rPr>
          <w:rFonts w:asciiTheme="minorEastAsia" w:hAnsiTheme="minorEastAsia" w:hint="eastAsia"/>
          <w:sz w:val="28"/>
          <w:szCs w:val="28"/>
        </w:rPr>
      </w:pPr>
    </w:p>
    <w:p w:rsidR="00702144" w:rsidRDefault="00375B54" w:rsidP="00422618">
      <w:pPr>
        <w:spacing w:before="180"/>
        <w:rPr>
          <w:rFonts w:asciiTheme="minorEastAsia" w:hAnsiTheme="minorEastAsia" w:hint="eastAsia"/>
        </w:rPr>
      </w:pPr>
      <w:r w:rsidRPr="00375B54">
        <w:rPr>
          <w:rFonts w:asciiTheme="minorEastAsia" w:hAnsiTheme="minorEastAsia"/>
        </w:rPr>
        <w:lastRenderedPageBreak/>
        <w:drawing>
          <wp:inline distT="0" distB="0" distL="0" distR="0">
            <wp:extent cx="5278120" cy="3548680"/>
            <wp:effectExtent l="0" t="0" r="0" b="0"/>
            <wp:docPr id="6" name="圖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02144" w:rsidRDefault="00702144" w:rsidP="00422618">
      <w:pPr>
        <w:spacing w:before="180"/>
        <w:rPr>
          <w:rFonts w:asciiTheme="minorEastAsia" w:hAnsiTheme="minorEastAsia" w:hint="eastAsia"/>
        </w:rPr>
      </w:pPr>
    </w:p>
    <w:p w:rsidR="00DD091E" w:rsidRPr="009B269B" w:rsidRDefault="00BE7AD8" w:rsidP="009B269B">
      <w:pPr>
        <w:spacing w:beforeLines="0" w:line="720" w:lineRule="exact"/>
        <w:rPr>
          <w:rFonts w:ascii="標楷體" w:eastAsia="標楷體" w:hAnsi="標楷體" w:hint="eastAsia"/>
          <w:b/>
          <w:sz w:val="28"/>
          <w:szCs w:val="28"/>
        </w:rPr>
      </w:pPr>
      <w:r w:rsidRPr="009B269B">
        <w:rPr>
          <w:rFonts w:ascii="標楷體" w:eastAsia="標楷體" w:hAnsi="標楷體" w:hint="eastAsia"/>
          <w:b/>
          <w:sz w:val="28"/>
          <w:szCs w:val="28"/>
        </w:rPr>
        <w:t>二、106年本鄉執行機關資源回收量計893公噸，占最多者為廢紙類計249公噸（占27.88％），占次多者為廢鐵</w:t>
      </w:r>
      <w:proofErr w:type="gramStart"/>
      <w:r w:rsidRPr="009B269B">
        <w:rPr>
          <w:rFonts w:ascii="標楷體" w:eastAsia="標楷體" w:hAnsi="標楷體" w:hint="eastAsia"/>
          <w:b/>
          <w:sz w:val="28"/>
          <w:szCs w:val="28"/>
        </w:rPr>
        <w:t>鋁罐計</w:t>
      </w:r>
      <w:proofErr w:type="gramEnd"/>
      <w:r w:rsidRPr="009B269B">
        <w:rPr>
          <w:rFonts w:ascii="標楷體" w:eastAsia="標楷體" w:hAnsi="標楷體" w:hint="eastAsia"/>
          <w:b/>
          <w:sz w:val="28"/>
          <w:szCs w:val="28"/>
        </w:rPr>
        <w:t>165公噸（占18.48％），占第三多者為廢玻璃容器計164公噸（占18.37％）。</w:t>
      </w:r>
    </w:p>
    <w:p w:rsidR="00BE7AD8" w:rsidRPr="009B269B" w:rsidRDefault="001C2C6F" w:rsidP="009B269B">
      <w:pPr>
        <w:spacing w:beforeLines="0" w:line="720" w:lineRule="exact"/>
        <w:rPr>
          <w:rFonts w:ascii="標楷體" w:eastAsia="標楷體" w:hAnsi="標楷體" w:hint="eastAsia"/>
          <w:sz w:val="28"/>
          <w:szCs w:val="28"/>
        </w:rPr>
      </w:pPr>
      <w:r w:rsidRPr="009B269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BE7AD8" w:rsidRPr="009B269B">
        <w:rPr>
          <w:rFonts w:ascii="標楷體" w:eastAsia="標楷體" w:hAnsi="標楷體" w:hint="eastAsia"/>
          <w:sz w:val="28"/>
          <w:szCs w:val="28"/>
        </w:rPr>
        <w:t>106年本鄉執行機關</w:t>
      </w:r>
      <w:r w:rsidR="00242513" w:rsidRPr="009B269B">
        <w:rPr>
          <w:rFonts w:ascii="標楷體" w:eastAsia="標楷體" w:hAnsi="標楷體" w:hint="eastAsia"/>
          <w:sz w:val="28"/>
          <w:szCs w:val="28"/>
        </w:rPr>
        <w:t>資源回收量計893公噸，其中依回收類別分為廢紙類、廢鐵鋁罐、其他金屬製品、廢塑膠製品（含寶特瓶）、廢玻璃容器及其他。所占比率由高至低分別為廢紙類計249公噸（占27.88％）、廢鐵</w:t>
      </w:r>
      <w:proofErr w:type="gramStart"/>
      <w:r w:rsidR="00242513" w:rsidRPr="009B269B">
        <w:rPr>
          <w:rFonts w:ascii="標楷體" w:eastAsia="標楷體" w:hAnsi="標楷體" w:hint="eastAsia"/>
          <w:sz w:val="28"/>
          <w:szCs w:val="28"/>
        </w:rPr>
        <w:t>鋁罐計</w:t>
      </w:r>
      <w:proofErr w:type="gramEnd"/>
      <w:r w:rsidR="00242513" w:rsidRPr="009B269B">
        <w:rPr>
          <w:rFonts w:ascii="標楷體" w:eastAsia="標楷體" w:hAnsi="標楷體" w:hint="eastAsia"/>
          <w:sz w:val="28"/>
          <w:szCs w:val="28"/>
        </w:rPr>
        <w:t>165公噸（占18.48％）、廢玻璃容器計164公噸（占18.37％）、廢塑膠製品（含寶特瓶）計151公噸（占16.91％）、其他未歸類者計109公噸（占12.20％）、其他金屬製品計55公噸（占6.16％）。（詳如圖3）</w:t>
      </w:r>
    </w:p>
    <w:p w:rsidR="00242513" w:rsidRDefault="00242513" w:rsidP="009B269B">
      <w:pPr>
        <w:spacing w:beforeLines="0" w:line="720" w:lineRule="exact"/>
        <w:rPr>
          <w:rFonts w:asciiTheme="minorEastAsia" w:hAnsiTheme="minorEastAsia" w:hint="eastAsia"/>
        </w:rPr>
      </w:pPr>
    </w:p>
    <w:p w:rsidR="00242513" w:rsidRDefault="00242513" w:rsidP="00422618">
      <w:pPr>
        <w:spacing w:before="180"/>
        <w:rPr>
          <w:rFonts w:asciiTheme="minorEastAsia" w:hAnsiTheme="minorEastAsia" w:hint="eastAsia"/>
        </w:rPr>
      </w:pPr>
      <w:r w:rsidRPr="00242513">
        <w:rPr>
          <w:rFonts w:asciiTheme="minorEastAsia" w:hAnsiTheme="minorEastAsia"/>
        </w:rPr>
        <w:drawing>
          <wp:inline distT="0" distB="0" distL="0" distR="0">
            <wp:extent cx="5278120" cy="4070994"/>
            <wp:effectExtent l="0" t="0" r="0" b="0"/>
            <wp:docPr id="7" name="圖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42513" w:rsidRDefault="00242513" w:rsidP="00422618">
      <w:pPr>
        <w:spacing w:before="180"/>
        <w:rPr>
          <w:rFonts w:asciiTheme="minorEastAsia" w:hAnsiTheme="minorEastAsia" w:hint="eastAsia"/>
        </w:rPr>
      </w:pPr>
    </w:p>
    <w:p w:rsidR="00242513" w:rsidRPr="00455809" w:rsidRDefault="001C2C6F" w:rsidP="009B269B">
      <w:pPr>
        <w:spacing w:beforeLines="0" w:line="720" w:lineRule="exact"/>
        <w:rPr>
          <w:rFonts w:ascii="標楷體" w:eastAsia="標楷體" w:hAnsi="標楷體" w:hint="eastAsia"/>
          <w:b/>
          <w:sz w:val="28"/>
          <w:szCs w:val="28"/>
        </w:rPr>
      </w:pPr>
      <w:r w:rsidRPr="00455809">
        <w:rPr>
          <w:rFonts w:ascii="標楷體" w:eastAsia="標楷體" w:hAnsi="標楷體" w:hint="eastAsia"/>
          <w:b/>
          <w:sz w:val="28"/>
          <w:szCs w:val="28"/>
        </w:rPr>
        <w:t>三、106年本鄉家戶垃圾減量率計44.97％，其中執行機關資源回收率計42.05％，廚餘回收率計2.92％。</w:t>
      </w:r>
    </w:p>
    <w:p w:rsidR="001C2C6F" w:rsidRPr="009B269B" w:rsidRDefault="009B269B" w:rsidP="009B269B">
      <w:pPr>
        <w:spacing w:beforeLines="0" w:line="720" w:lineRule="exact"/>
        <w:rPr>
          <w:rFonts w:ascii="標楷體" w:eastAsia="標楷體" w:hAnsi="標楷體" w:hint="eastAsia"/>
          <w:sz w:val="28"/>
          <w:szCs w:val="28"/>
        </w:rPr>
      </w:pPr>
      <w:r w:rsidRPr="009B269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1C2C6F" w:rsidRPr="009B269B">
        <w:rPr>
          <w:rFonts w:ascii="標楷體" w:eastAsia="標楷體" w:hAnsi="標楷體" w:hint="eastAsia"/>
          <w:sz w:val="28"/>
          <w:szCs w:val="28"/>
        </w:rPr>
        <w:t>106年本鄉家戶垃圾減量率計44.97％，其中執行機關資源回收率計42.05％，廚餘回收率計2.92％。與105年相比，</w:t>
      </w:r>
      <w:r w:rsidR="00122FB7" w:rsidRPr="009B269B">
        <w:rPr>
          <w:rFonts w:ascii="標楷體" w:eastAsia="標楷體" w:hAnsi="標楷體" w:hint="eastAsia"/>
          <w:sz w:val="28"/>
          <w:szCs w:val="28"/>
        </w:rPr>
        <w:t>家戶垃圾減量率增加0.80％，其中執行機關資源回收率增加1.46％，廚餘回收率減少0.66％。102年至106年，本鄉家戶垃圾減量率</w:t>
      </w:r>
      <w:r w:rsidR="008831D5">
        <w:rPr>
          <w:rFonts w:ascii="標楷體" w:eastAsia="標楷體" w:hAnsi="標楷體" w:hint="eastAsia"/>
          <w:sz w:val="28"/>
          <w:szCs w:val="28"/>
        </w:rPr>
        <w:t>原</w:t>
      </w:r>
      <w:r w:rsidRPr="009B269B">
        <w:rPr>
          <w:rFonts w:ascii="標楷體" w:eastAsia="標楷體" w:hAnsi="標楷體" w:hint="eastAsia"/>
          <w:sz w:val="28"/>
          <w:szCs w:val="28"/>
        </w:rPr>
        <w:t>呈下降趨勢，直</w:t>
      </w:r>
      <w:r w:rsidR="00122FB7" w:rsidRPr="009B269B">
        <w:rPr>
          <w:rFonts w:ascii="標楷體" w:eastAsia="標楷體" w:hAnsi="標楷體" w:hint="eastAsia"/>
          <w:sz w:val="28"/>
          <w:szCs w:val="28"/>
        </w:rPr>
        <w:t>至106年</w:t>
      </w:r>
      <w:r w:rsidR="008831D5">
        <w:rPr>
          <w:rFonts w:ascii="標楷體" w:eastAsia="標楷體" w:hAnsi="標楷體" w:hint="eastAsia"/>
          <w:sz w:val="28"/>
          <w:szCs w:val="28"/>
        </w:rPr>
        <w:t>反轉</w:t>
      </w:r>
      <w:r w:rsidR="00122FB7" w:rsidRPr="009B269B">
        <w:rPr>
          <w:rFonts w:ascii="標楷體" w:eastAsia="標楷體" w:hAnsi="標楷體" w:hint="eastAsia"/>
          <w:sz w:val="28"/>
          <w:szCs w:val="28"/>
        </w:rPr>
        <w:t>出現成長。（詳如圖4）</w:t>
      </w:r>
    </w:p>
    <w:p w:rsidR="00242513" w:rsidRDefault="009B269B" w:rsidP="00422618">
      <w:pPr>
        <w:spacing w:before="180"/>
        <w:rPr>
          <w:rFonts w:asciiTheme="minorEastAsia" w:hAnsiTheme="minorEastAsia" w:hint="eastAsia"/>
        </w:rPr>
      </w:pPr>
      <w:r w:rsidRPr="009B269B">
        <w:rPr>
          <w:rFonts w:asciiTheme="minorEastAsia" w:hAnsiTheme="minorEastAsia"/>
        </w:rPr>
        <w:lastRenderedPageBreak/>
        <w:drawing>
          <wp:inline distT="0" distB="0" distL="0" distR="0">
            <wp:extent cx="5212080" cy="3680460"/>
            <wp:effectExtent l="0" t="0" r="0" b="0"/>
            <wp:docPr id="8" name="圖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42513" w:rsidRDefault="00242513" w:rsidP="00422618">
      <w:pPr>
        <w:spacing w:before="180"/>
        <w:rPr>
          <w:rFonts w:asciiTheme="minorEastAsia" w:hAnsiTheme="minorEastAsia" w:hint="eastAsia"/>
        </w:rPr>
      </w:pPr>
    </w:p>
    <w:p w:rsidR="00242513" w:rsidRDefault="00242513" w:rsidP="00422618">
      <w:pPr>
        <w:spacing w:before="180"/>
        <w:rPr>
          <w:rFonts w:asciiTheme="minorEastAsia" w:hAnsiTheme="minorEastAsia" w:hint="eastAsia"/>
        </w:rPr>
      </w:pPr>
    </w:p>
    <w:p w:rsidR="00242513" w:rsidRPr="00882D48" w:rsidRDefault="00242513" w:rsidP="00422618">
      <w:pPr>
        <w:spacing w:before="180"/>
        <w:rPr>
          <w:rFonts w:asciiTheme="minorEastAsia" w:hAnsiTheme="minorEastAsia"/>
        </w:rPr>
      </w:pPr>
    </w:p>
    <w:sectPr w:rsidR="00242513" w:rsidRPr="00882D48" w:rsidSect="005F68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997" w:rsidRDefault="00846997" w:rsidP="00455809">
      <w:pPr>
        <w:spacing w:before="120" w:line="240" w:lineRule="auto"/>
      </w:pPr>
      <w:r>
        <w:separator/>
      </w:r>
    </w:p>
  </w:endnote>
  <w:endnote w:type="continuationSeparator" w:id="0">
    <w:p w:rsidR="00846997" w:rsidRDefault="00846997" w:rsidP="00455809">
      <w:pPr>
        <w:spacing w:before="12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09" w:rsidRDefault="00455809" w:rsidP="00455809">
    <w:pPr>
      <w:pStyle w:val="a9"/>
      <w:spacing w:before="12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0058669"/>
      <w:docPartObj>
        <w:docPartGallery w:val="Page Numbers (Bottom of Page)"/>
        <w:docPartUnique/>
      </w:docPartObj>
    </w:sdtPr>
    <w:sdtContent>
      <w:p w:rsidR="00455809" w:rsidRDefault="00455809" w:rsidP="00455809">
        <w:pPr>
          <w:pStyle w:val="a9"/>
          <w:spacing w:before="120"/>
          <w:jc w:val="center"/>
        </w:pPr>
        <w:fldSimple w:instr=" PAGE   \* MERGEFORMAT ">
          <w:r w:rsidR="00B24CDB" w:rsidRPr="00B24CDB">
            <w:rPr>
              <w:noProof/>
              <w:lang w:val="zh-TW"/>
            </w:rPr>
            <w:t>1</w:t>
          </w:r>
        </w:fldSimple>
      </w:p>
    </w:sdtContent>
  </w:sdt>
  <w:p w:rsidR="00455809" w:rsidRDefault="00455809" w:rsidP="00455809">
    <w:pPr>
      <w:pStyle w:val="a9"/>
      <w:spacing w:before="12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09" w:rsidRDefault="00455809" w:rsidP="00455809">
    <w:pPr>
      <w:pStyle w:val="a9"/>
      <w:spacing w:before="12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997" w:rsidRDefault="00846997" w:rsidP="00455809">
      <w:pPr>
        <w:spacing w:before="120" w:line="240" w:lineRule="auto"/>
      </w:pPr>
      <w:r>
        <w:separator/>
      </w:r>
    </w:p>
  </w:footnote>
  <w:footnote w:type="continuationSeparator" w:id="0">
    <w:p w:rsidR="00846997" w:rsidRDefault="00846997" w:rsidP="00455809">
      <w:pPr>
        <w:spacing w:before="12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09" w:rsidRDefault="00455809" w:rsidP="00455809">
    <w:pPr>
      <w:pStyle w:val="a7"/>
      <w:spacing w:before="1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09" w:rsidRDefault="00455809" w:rsidP="00455809">
    <w:pPr>
      <w:pStyle w:val="a7"/>
      <w:spacing w:before="1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809" w:rsidRDefault="00455809" w:rsidP="00455809">
    <w:pPr>
      <w:pStyle w:val="a7"/>
      <w:spacing w:before="12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68A7"/>
    <w:rsid w:val="000E5C1F"/>
    <w:rsid w:val="00122FB7"/>
    <w:rsid w:val="001C2C6F"/>
    <w:rsid w:val="00242513"/>
    <w:rsid w:val="00375B54"/>
    <w:rsid w:val="00422618"/>
    <w:rsid w:val="00455809"/>
    <w:rsid w:val="00464F86"/>
    <w:rsid w:val="005F68A7"/>
    <w:rsid w:val="00702144"/>
    <w:rsid w:val="00710571"/>
    <w:rsid w:val="00846997"/>
    <w:rsid w:val="00882D48"/>
    <w:rsid w:val="008831D5"/>
    <w:rsid w:val="00924BA6"/>
    <w:rsid w:val="009B269B"/>
    <w:rsid w:val="009F1CCD"/>
    <w:rsid w:val="00AA70F3"/>
    <w:rsid w:val="00B24CDB"/>
    <w:rsid w:val="00BE7AD8"/>
    <w:rsid w:val="00D50203"/>
    <w:rsid w:val="00DD091E"/>
    <w:rsid w:val="00FC5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Lines="50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94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F68A7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5F68A7"/>
  </w:style>
  <w:style w:type="paragraph" w:styleId="a5">
    <w:name w:val="Balloon Text"/>
    <w:basedOn w:val="a"/>
    <w:link w:val="a6"/>
    <w:uiPriority w:val="99"/>
    <w:semiHidden/>
    <w:unhideWhenUsed/>
    <w:rsid w:val="00DD091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DD091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4558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45580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558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55809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header" Target="header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title>
      <c:tx>
        <c:rich>
          <a:bodyPr/>
          <a:lstStyle/>
          <a:p>
            <a:pPr algn="l">
              <a:defRPr sz="1400" baseline="0"/>
            </a:pPr>
            <a:r>
              <a:rPr lang="zh-TW" altLang="en-US" sz="1400" baseline="0">
                <a:ea typeface="標楷體" pitchFamily="65" charset="-120"/>
              </a:rPr>
              <a:t>圖</a:t>
            </a:r>
            <a:r>
              <a:rPr lang="en-US" altLang="zh-TW" sz="1400" baseline="0">
                <a:ea typeface="標楷體" pitchFamily="65" charset="-120"/>
              </a:rPr>
              <a:t>1</a:t>
            </a:r>
            <a:r>
              <a:rPr lang="zh-TW" altLang="en-US" sz="1400" baseline="0">
                <a:ea typeface="標楷體" pitchFamily="65" charset="-120"/>
              </a:rPr>
              <a:t>    </a:t>
            </a:r>
            <a:r>
              <a:rPr lang="en-US" altLang="zh-TW" sz="1400" baseline="0">
                <a:ea typeface="標楷體" pitchFamily="65" charset="-120"/>
              </a:rPr>
              <a:t>106</a:t>
            </a:r>
            <a:r>
              <a:rPr lang="zh-TW" altLang="en-US" sz="1400" baseline="0">
                <a:ea typeface="標楷體" pitchFamily="65" charset="-120"/>
              </a:rPr>
              <a:t>年西嶼鄉垃圾處理概況</a:t>
            </a:r>
            <a:endParaRPr lang="en-US" altLang="zh-TW" sz="1400" baseline="0">
              <a:ea typeface="標楷體" pitchFamily="65" charset="-120"/>
            </a:endParaRPr>
          </a:p>
          <a:p>
            <a:pPr algn="l">
              <a:defRPr sz="1400" baseline="0"/>
            </a:pPr>
            <a:r>
              <a:rPr lang="zh-TW" altLang="en-US" sz="1400" baseline="0">
                <a:ea typeface="標楷體" pitchFamily="65" charset="-120"/>
              </a:rPr>
              <a:t>資料來源</a:t>
            </a:r>
            <a:r>
              <a:rPr lang="en-US" altLang="zh-TW" sz="1400" baseline="0">
                <a:ea typeface="標楷體" pitchFamily="65" charset="-120"/>
              </a:rPr>
              <a:t>:</a:t>
            </a:r>
            <a:r>
              <a:rPr lang="zh-TW" altLang="en-US" sz="1400" baseline="0">
                <a:ea typeface="標楷體" pitchFamily="65" charset="-120"/>
              </a:rPr>
              <a:t>西嶼鄉統計報表</a:t>
            </a:r>
            <a:endParaRPr lang="en-US" altLang="zh-TW" sz="1400" baseline="0">
              <a:ea typeface="標楷體" pitchFamily="65" charset="-120"/>
            </a:endParaRPr>
          </a:p>
          <a:p>
            <a:pPr algn="l">
              <a:defRPr sz="1400" baseline="0"/>
            </a:pPr>
            <a:r>
              <a:rPr lang="zh-TW" altLang="en-US" sz="1400" baseline="0"/>
              <a:t>  </a:t>
            </a:r>
          </a:p>
        </c:rich>
      </c:tx>
      <c:layout>
        <c:manualLayout>
          <c:xMode val="edge"/>
          <c:yMode val="edge"/>
          <c:x val="0.29397719146231188"/>
          <c:y val="0.84541577189214978"/>
        </c:manualLayout>
      </c:layout>
    </c:title>
    <c:view3D>
      <c:rotX val="30"/>
      <c:perspective val="30"/>
    </c:view3D>
    <c:plotArea>
      <c:layout/>
      <c:pie3DChart>
        <c:varyColors val="1"/>
        <c:ser>
          <c:idx val="0"/>
          <c:order val="0"/>
          <c:dLbls>
            <c:dLbl>
              <c:idx val="1"/>
              <c:tx>
                <c:rich>
                  <a:bodyPr/>
                  <a:lstStyle/>
                  <a:p>
                    <a:r>
                      <a:rPr lang="zh-TW" altLang="en-US" sz="1400" baseline="0">
                        <a:ea typeface="標楷體" pitchFamily="65" charset="-120"/>
                      </a:rPr>
                      <a:t>執</a:t>
                    </a:r>
                    <a:r>
                      <a:rPr lang="zh-TW" altLang="en-US"/>
                      <a:t>行機關資源回收量
</a:t>
                    </a:r>
                    <a:r>
                      <a:rPr lang="en-US" altLang="zh-TW"/>
                      <a:t>42.05%</a:t>
                    </a:r>
                    <a:endParaRPr lang="zh-TW" altLang="en-US"/>
                  </a:p>
                </c:rich>
              </c:tx>
              <c:showCatName val="1"/>
              <c:showPercent val="1"/>
            </c:dLbl>
            <c:dLbl>
              <c:idx val="2"/>
              <c:layout>
                <c:manualLayout>
                  <c:x val="-2.7972639783663426E-2"/>
                  <c:y val="-1.1375316496034019E-2"/>
                </c:manualLayout>
              </c:layout>
              <c:showCatName val="1"/>
              <c:showPercent val="1"/>
            </c:dLbl>
            <c:dLbl>
              <c:idx val="3"/>
              <c:layout>
                <c:manualLayout>
                  <c:x val="8.0628131710808876E-2"/>
                  <c:y val="-2.6910564159612477E-2"/>
                </c:manualLayout>
              </c:layout>
              <c:showCatName val="1"/>
              <c:showPercent val="1"/>
            </c:dLbl>
            <c:numFmt formatCode="0.00%" sourceLinked="0"/>
            <c:txPr>
              <a:bodyPr/>
              <a:lstStyle/>
              <a:p>
                <a:pPr>
                  <a:defRPr sz="1400" baseline="0">
                    <a:ea typeface="標楷體" pitchFamily="65" charset="-120"/>
                  </a:defRPr>
                </a:pPr>
                <a:endParaRPr lang="zh-TW"/>
              </a:p>
            </c:txPr>
            <c:showCatName val="1"/>
            <c:showPercent val="1"/>
            <c:showLeaderLines val="1"/>
          </c:dLbls>
          <c:cat>
            <c:strRef>
              <c:f>Sheet1!$A$3:$D$3</c:f>
              <c:strCache>
                <c:ptCount val="4"/>
                <c:pt idx="0">
                  <c:v>垃圾清運量</c:v>
                </c:pt>
                <c:pt idx="1">
                  <c:v>執行機關資源回收量</c:v>
                </c:pt>
                <c:pt idx="2">
                  <c:v>廚餘回收量</c:v>
                </c:pt>
                <c:pt idx="3">
                  <c:v>巨大垃圾採衛生掩埋方式處理量</c:v>
                </c:pt>
              </c:strCache>
            </c:strRef>
          </c:cat>
          <c:val>
            <c:numRef>
              <c:f>Sheet1!$A$4:$D$4</c:f>
              <c:numCache>
                <c:formatCode>General</c:formatCode>
                <c:ptCount val="4"/>
                <c:pt idx="0">
                  <c:v>1157</c:v>
                </c:pt>
                <c:pt idx="1">
                  <c:v>893</c:v>
                </c:pt>
                <c:pt idx="2">
                  <c:v>62</c:v>
                </c:pt>
                <c:pt idx="3">
                  <c:v>12</c:v>
                </c:pt>
              </c:numCache>
            </c:numRef>
          </c:val>
        </c:ser>
        <c:ser>
          <c:idx val="1"/>
          <c:order val="1"/>
          <c:dLbls>
            <c:showCatName val="1"/>
            <c:showPercent val="1"/>
            <c:showLeaderLines val="1"/>
          </c:dLbls>
          <c:cat>
            <c:strRef>
              <c:f>Sheet1!$A$3:$D$3</c:f>
              <c:strCache>
                <c:ptCount val="4"/>
                <c:pt idx="0">
                  <c:v>垃圾清運量</c:v>
                </c:pt>
                <c:pt idx="1">
                  <c:v>執行機關資源回收量</c:v>
                </c:pt>
                <c:pt idx="2">
                  <c:v>廚餘回收量</c:v>
                </c:pt>
                <c:pt idx="3">
                  <c:v>巨大垃圾採衛生掩埋方式處理量</c:v>
                </c:pt>
              </c:strCache>
            </c:strRef>
          </c:cat>
          <c:val>
            <c:numRef>
              <c:f>Sheet1!$A$5:$D$5</c:f>
              <c:numCache>
                <c:formatCode>0.00%</c:formatCode>
                <c:ptCount val="4"/>
                <c:pt idx="0">
                  <c:v>0.54472693032015063</c:v>
                </c:pt>
                <c:pt idx="1">
                  <c:v>0.42053314500941624</c:v>
                </c:pt>
                <c:pt idx="2">
                  <c:v>2.9190207156308847E-2</c:v>
                </c:pt>
                <c:pt idx="3">
                  <c:v>5.6497175141242938E-3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zh-TW"/>
  <c:chart>
    <c:title>
      <c:tx>
        <c:rich>
          <a:bodyPr/>
          <a:lstStyle/>
          <a:p>
            <a:pPr algn="l">
              <a:defRPr/>
            </a:pPr>
            <a:r>
              <a:rPr lang="zh-TW" altLang="en-US" sz="1400" baseline="0">
                <a:ea typeface="標楷體" pitchFamily="65" charset="-120"/>
              </a:rPr>
              <a:t>圖</a:t>
            </a:r>
            <a:r>
              <a:rPr lang="en-US" altLang="zh-TW" sz="1400" baseline="0">
                <a:ea typeface="標楷體" pitchFamily="65" charset="-120"/>
              </a:rPr>
              <a:t>2  </a:t>
            </a:r>
            <a:r>
              <a:rPr lang="zh-TW" altLang="en-US" sz="1400" baseline="0">
                <a:ea typeface="標楷體" pitchFamily="65" charset="-120"/>
              </a:rPr>
              <a:t>西嶼鄉資源回收占垃圾產生量比率</a:t>
            </a:r>
            <a:endParaRPr lang="en-US" altLang="zh-TW" sz="1400" baseline="0">
              <a:ea typeface="標楷體" pitchFamily="65" charset="-120"/>
            </a:endParaRPr>
          </a:p>
          <a:p>
            <a:pPr algn="l">
              <a:defRPr/>
            </a:pPr>
            <a:r>
              <a:rPr lang="zh-TW" altLang="en-US" sz="1400" baseline="0">
                <a:ea typeface="標楷體" pitchFamily="65" charset="-120"/>
              </a:rPr>
              <a:t>資料來源</a:t>
            </a:r>
            <a:r>
              <a:rPr lang="en-US" altLang="zh-TW" sz="1400" baseline="0">
                <a:ea typeface="標楷體" pitchFamily="65" charset="-120"/>
              </a:rPr>
              <a:t>:</a:t>
            </a:r>
            <a:r>
              <a:rPr lang="zh-TW" altLang="en-US" sz="1400" baseline="0">
                <a:ea typeface="標楷體" pitchFamily="65" charset="-120"/>
              </a:rPr>
              <a:t>西嶼鄉統計報表</a:t>
            </a:r>
          </a:p>
        </c:rich>
      </c:tx>
    </c:title>
    <c:plotArea>
      <c:layout/>
      <c:lineChart>
        <c:grouping val="stacked"/>
        <c:ser>
          <c:idx val="0"/>
          <c:order val="0"/>
          <c:dLbls>
            <c:dLbl>
              <c:idx val="4"/>
              <c:tx>
                <c:rich>
                  <a:bodyPr/>
                  <a:lstStyle/>
                  <a:p>
                    <a:r>
                      <a:rPr lang="en-US" altLang="en-US"/>
                      <a:t>42.0</a:t>
                    </a:r>
                    <a:r>
                      <a:rPr lang="en-US" altLang="zh-TW"/>
                      <a:t>5</a:t>
                    </a:r>
                    <a:r>
                      <a:rPr lang="en-US" altLang="en-US"/>
                      <a:t>%</a:t>
                    </a:r>
                  </a:p>
                </c:rich>
              </c:tx>
              <c:showVal val="1"/>
            </c:dLbl>
            <c:showVal val="1"/>
          </c:dLbls>
          <c:cat>
            <c:strRef>
              <c:f>Sheet2!$A$31:$E$31</c:f>
              <c:strCache>
                <c:ptCount val="5"/>
                <c:pt idx="0">
                  <c:v>102年</c:v>
                </c:pt>
                <c:pt idx="1">
                  <c:v>103年</c:v>
                </c:pt>
                <c:pt idx="2">
                  <c:v>104年</c:v>
                </c:pt>
                <c:pt idx="3">
                  <c:v>105年</c:v>
                </c:pt>
                <c:pt idx="4">
                  <c:v>106年</c:v>
                </c:pt>
              </c:strCache>
            </c:strRef>
          </c:cat>
          <c:val>
            <c:numRef>
              <c:f>Sheet2!$A$32:$E$32</c:f>
              <c:numCache>
                <c:formatCode>0.00%</c:formatCode>
                <c:ptCount val="5"/>
                <c:pt idx="0">
                  <c:v>0.41206030150753775</c:v>
                </c:pt>
                <c:pt idx="1">
                  <c:v>0.39267015706806291</c:v>
                </c:pt>
                <c:pt idx="2">
                  <c:v>0.40155189136760439</c:v>
                </c:pt>
                <c:pt idx="3">
                  <c:v>0.40597453476983353</c:v>
                </c:pt>
                <c:pt idx="4">
                  <c:v>0.42043314500941625</c:v>
                </c:pt>
              </c:numCache>
            </c:numRef>
          </c:val>
        </c:ser>
        <c:marker val="1"/>
        <c:axId val="161166080"/>
        <c:axId val="161168000"/>
      </c:lineChart>
      <c:catAx>
        <c:axId val="161166080"/>
        <c:scaling>
          <c:orientation val="minMax"/>
        </c:scaling>
        <c:axPos val="b"/>
        <c:majorTickMark val="none"/>
        <c:tickLblPos val="nextTo"/>
        <c:txPr>
          <a:bodyPr/>
          <a:lstStyle/>
          <a:p>
            <a:pPr>
              <a:defRPr baseline="0">
                <a:ea typeface="標楷體" pitchFamily="65" charset="-120"/>
              </a:defRPr>
            </a:pPr>
            <a:endParaRPr lang="zh-TW"/>
          </a:p>
        </c:txPr>
        <c:crossAx val="161168000"/>
        <c:crosses val="autoZero"/>
        <c:auto val="1"/>
        <c:lblAlgn val="ctr"/>
        <c:lblOffset val="100"/>
      </c:catAx>
      <c:valAx>
        <c:axId val="161168000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crossAx val="161166080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zh-TW"/>
  <c:chart>
    <c:title>
      <c:tx>
        <c:rich>
          <a:bodyPr/>
          <a:lstStyle/>
          <a:p>
            <a:pPr algn="l">
              <a:defRPr/>
            </a:pPr>
            <a:r>
              <a:rPr lang="zh-TW" altLang="en-US" sz="1400" baseline="0">
                <a:ea typeface="標楷體" pitchFamily="65" charset="-120"/>
              </a:rPr>
              <a:t>圖</a:t>
            </a:r>
            <a:r>
              <a:rPr lang="en-US" altLang="zh-TW" sz="1400" baseline="0">
                <a:ea typeface="標楷體" pitchFamily="65" charset="-120"/>
              </a:rPr>
              <a:t>3</a:t>
            </a:r>
            <a:r>
              <a:rPr lang="zh-TW" altLang="en-US" sz="1400" baseline="0">
                <a:ea typeface="標楷體" pitchFamily="65" charset="-120"/>
              </a:rPr>
              <a:t>  </a:t>
            </a:r>
            <a:r>
              <a:rPr lang="en-US" altLang="zh-TW" sz="1400" baseline="0">
                <a:ea typeface="標楷體" pitchFamily="65" charset="-120"/>
              </a:rPr>
              <a:t>106</a:t>
            </a:r>
            <a:r>
              <a:rPr lang="zh-TW" altLang="en-US" sz="1400" baseline="0">
                <a:ea typeface="標楷體" pitchFamily="65" charset="-120"/>
              </a:rPr>
              <a:t>年西嶼鄉資源回收概況</a:t>
            </a:r>
            <a:endParaRPr lang="en-US" altLang="zh-TW" sz="1400" baseline="0">
              <a:ea typeface="標楷體" pitchFamily="65" charset="-120"/>
            </a:endParaRPr>
          </a:p>
          <a:p>
            <a:pPr algn="l">
              <a:defRPr/>
            </a:pPr>
            <a:r>
              <a:rPr lang="zh-TW" altLang="en-US" sz="1400" baseline="0">
                <a:ea typeface="標楷體" pitchFamily="65" charset="-120"/>
              </a:rPr>
              <a:t>資料來源</a:t>
            </a:r>
            <a:r>
              <a:rPr lang="en-US" altLang="zh-TW" sz="1400" baseline="0">
                <a:ea typeface="標楷體" pitchFamily="65" charset="-120"/>
              </a:rPr>
              <a:t>:</a:t>
            </a:r>
            <a:r>
              <a:rPr lang="zh-TW" altLang="en-US" sz="1400" baseline="0">
                <a:ea typeface="標楷體" pitchFamily="65" charset="-120"/>
              </a:rPr>
              <a:t>西嶼鄉統計報表</a:t>
            </a:r>
          </a:p>
        </c:rich>
      </c:tx>
      <c:layout>
        <c:manualLayout>
          <c:xMode val="edge"/>
          <c:yMode val="edge"/>
          <c:x val="0.29092233141399981"/>
          <c:y val="4.6302817675428806E-2"/>
        </c:manualLayout>
      </c:layout>
    </c:title>
    <c:plotArea>
      <c:layout/>
      <c:pieChart>
        <c:varyColors val="1"/>
        <c:ser>
          <c:idx val="0"/>
          <c:order val="0"/>
          <c:dLbls>
            <c:numFmt formatCode="0.00%" sourceLinked="0"/>
            <c:txPr>
              <a:bodyPr/>
              <a:lstStyle/>
              <a:p>
                <a:pPr>
                  <a:defRPr baseline="0">
                    <a:ea typeface="標楷體" pitchFamily="65" charset="-120"/>
                  </a:defRPr>
                </a:pPr>
                <a:endParaRPr lang="zh-TW"/>
              </a:p>
            </c:txPr>
            <c:showCatName val="1"/>
            <c:showPercent val="1"/>
            <c:showLeaderLines val="1"/>
          </c:dLbls>
          <c:cat>
            <c:strRef>
              <c:f>Sheet2!$A$56:$F$56</c:f>
              <c:strCache>
                <c:ptCount val="6"/>
                <c:pt idx="0">
                  <c:v>廢紙類</c:v>
                </c:pt>
                <c:pt idx="1">
                  <c:v>廢鐵鋁罐</c:v>
                </c:pt>
                <c:pt idx="2">
                  <c:v>其他金屬製品</c:v>
                </c:pt>
                <c:pt idx="3">
                  <c:v>廢塑膠製品（含寶特瓶）</c:v>
                </c:pt>
                <c:pt idx="4">
                  <c:v>廢玻璃容器</c:v>
                </c:pt>
                <c:pt idx="5">
                  <c:v>其他</c:v>
                </c:pt>
              </c:strCache>
            </c:strRef>
          </c:cat>
          <c:val>
            <c:numRef>
              <c:f>Sheet2!$A$57:$F$57</c:f>
              <c:numCache>
                <c:formatCode>0.00%</c:formatCode>
                <c:ptCount val="6"/>
                <c:pt idx="0">
                  <c:v>0.27880000000000005</c:v>
                </c:pt>
                <c:pt idx="1">
                  <c:v>0.18480000000000002</c:v>
                </c:pt>
                <c:pt idx="2">
                  <c:v>6.1600000000000002E-2</c:v>
                </c:pt>
                <c:pt idx="3">
                  <c:v>0.1691</c:v>
                </c:pt>
                <c:pt idx="4">
                  <c:v>0.18370000000000003</c:v>
                </c:pt>
                <c:pt idx="5">
                  <c:v>0.12200000000000001</c:v>
                </c:pt>
              </c:numCache>
            </c:numRef>
          </c:val>
        </c:ser>
        <c:dLbls>
          <c:showCatName val="1"/>
          <c:showPercent val="1"/>
        </c:dLbls>
        <c:firstSliceAng val="0"/>
      </c:pieChart>
    </c:plotArea>
    <c:plotVisOnly val="1"/>
  </c:chart>
  <c:spPr>
    <a:ln>
      <a:noFill/>
    </a:ln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zh-TW"/>
  <c:chart>
    <c:title>
      <c:tx>
        <c:rich>
          <a:bodyPr/>
          <a:lstStyle/>
          <a:p>
            <a:pPr algn="l">
              <a:defRPr/>
            </a:pPr>
            <a:r>
              <a:rPr lang="zh-TW" altLang="en-US" sz="1400" baseline="0">
                <a:ea typeface="標楷體" pitchFamily="65" charset="-120"/>
              </a:rPr>
              <a:t>圖</a:t>
            </a:r>
            <a:r>
              <a:rPr lang="en-US" altLang="zh-TW" sz="1400" baseline="0">
                <a:ea typeface="標楷體" pitchFamily="65" charset="-120"/>
              </a:rPr>
              <a:t>4 </a:t>
            </a:r>
            <a:r>
              <a:rPr lang="zh-TW" altLang="en-US" sz="1400" baseline="0">
                <a:ea typeface="標楷體" pitchFamily="65" charset="-120"/>
              </a:rPr>
              <a:t>  西嶼鄉家戶垃圾減量概況</a:t>
            </a:r>
            <a:endParaRPr lang="en-US" altLang="zh-TW" sz="1400" baseline="0">
              <a:ea typeface="標楷體" pitchFamily="65" charset="-120"/>
            </a:endParaRPr>
          </a:p>
          <a:p>
            <a:pPr algn="l">
              <a:defRPr/>
            </a:pPr>
            <a:r>
              <a:rPr lang="zh-TW" altLang="en-US" sz="1400" baseline="0">
                <a:ea typeface="標楷體" pitchFamily="65" charset="-120"/>
              </a:rPr>
              <a:t>資料來源</a:t>
            </a:r>
            <a:r>
              <a:rPr lang="en-US" altLang="zh-TW" sz="1400" baseline="0">
                <a:ea typeface="標楷體" pitchFamily="65" charset="-120"/>
              </a:rPr>
              <a:t>:</a:t>
            </a:r>
            <a:r>
              <a:rPr lang="zh-TW" altLang="en-US" sz="1400" baseline="0">
                <a:ea typeface="標楷體" pitchFamily="65" charset="-120"/>
              </a:rPr>
              <a:t>西嶼鄉統計報表</a:t>
            </a:r>
            <a:endParaRPr lang="en-US" altLang="zh-TW" sz="1400" baseline="0">
              <a:ea typeface="標楷體" pitchFamily="65" charset="-120"/>
            </a:endParaRPr>
          </a:p>
        </c:rich>
      </c:tx>
    </c:title>
    <c:plotArea>
      <c:layout/>
      <c:barChart>
        <c:barDir val="col"/>
        <c:grouping val="stacked"/>
        <c:ser>
          <c:idx val="0"/>
          <c:order val="0"/>
          <c:tx>
            <c:strRef>
              <c:f>Sheet2!$A$89</c:f>
              <c:strCache>
                <c:ptCount val="1"/>
                <c:pt idx="0">
                  <c:v>執行機關資源回收率</c:v>
                </c:pt>
              </c:strCache>
            </c:strRef>
          </c:tx>
          <c:dLbls>
            <c:showVal val="1"/>
          </c:dLbls>
          <c:cat>
            <c:strRef>
              <c:f>Sheet2!$B$88:$F$88</c:f>
              <c:strCache>
                <c:ptCount val="5"/>
                <c:pt idx="0">
                  <c:v>102年</c:v>
                </c:pt>
                <c:pt idx="1">
                  <c:v>103年</c:v>
                </c:pt>
                <c:pt idx="2">
                  <c:v>104年</c:v>
                </c:pt>
                <c:pt idx="3">
                  <c:v>105年</c:v>
                </c:pt>
                <c:pt idx="4">
                  <c:v>106年</c:v>
                </c:pt>
              </c:strCache>
            </c:strRef>
          </c:cat>
          <c:val>
            <c:numRef>
              <c:f>Sheet2!$B$89:$F$89</c:f>
              <c:numCache>
                <c:formatCode>0.00%</c:formatCode>
                <c:ptCount val="5"/>
                <c:pt idx="0">
                  <c:v>0.41206030150753775</c:v>
                </c:pt>
                <c:pt idx="1">
                  <c:v>0.39267015706806291</c:v>
                </c:pt>
                <c:pt idx="2">
                  <c:v>0.40155189136760439</c:v>
                </c:pt>
                <c:pt idx="3">
                  <c:v>0.40597453476983353</c:v>
                </c:pt>
                <c:pt idx="4">
                  <c:v>0.42053314500941624</c:v>
                </c:pt>
              </c:numCache>
            </c:numRef>
          </c:val>
        </c:ser>
        <c:ser>
          <c:idx val="1"/>
          <c:order val="1"/>
          <c:tx>
            <c:strRef>
              <c:f>Sheet2!$A$90</c:f>
              <c:strCache>
                <c:ptCount val="1"/>
                <c:pt idx="0">
                  <c:v>廚餘回收率</c:v>
                </c:pt>
              </c:strCache>
            </c:strRef>
          </c:tx>
          <c:dLbls>
            <c:showVal val="1"/>
          </c:dLbls>
          <c:cat>
            <c:strRef>
              <c:f>Sheet2!$B$88:$F$88</c:f>
              <c:strCache>
                <c:ptCount val="5"/>
                <c:pt idx="0">
                  <c:v>102年</c:v>
                </c:pt>
                <c:pt idx="1">
                  <c:v>103年</c:v>
                </c:pt>
                <c:pt idx="2">
                  <c:v>104年</c:v>
                </c:pt>
                <c:pt idx="3">
                  <c:v>105年</c:v>
                </c:pt>
                <c:pt idx="4">
                  <c:v>106年</c:v>
                </c:pt>
              </c:strCache>
            </c:strRef>
          </c:cat>
          <c:val>
            <c:numRef>
              <c:f>Sheet2!$B$90:$F$90</c:f>
              <c:numCache>
                <c:formatCode>0.00%</c:formatCode>
                <c:ptCount val="5"/>
                <c:pt idx="0">
                  <c:v>7.9488350845134781E-2</c:v>
                </c:pt>
                <c:pt idx="1">
                  <c:v>5.6428155904595698E-2</c:v>
                </c:pt>
                <c:pt idx="2">
                  <c:v>4.0737148399612025E-2</c:v>
                </c:pt>
                <c:pt idx="3">
                  <c:v>3.5749265426052897E-2</c:v>
                </c:pt>
                <c:pt idx="4">
                  <c:v>2.9190207156308847E-2</c:v>
                </c:pt>
              </c:numCache>
            </c:numRef>
          </c:val>
        </c:ser>
        <c:gapWidth val="75"/>
        <c:overlap val="100"/>
        <c:axId val="233116032"/>
        <c:axId val="233118336"/>
      </c:barChart>
      <c:catAx>
        <c:axId val="233116032"/>
        <c:scaling>
          <c:orientation val="minMax"/>
        </c:scaling>
        <c:axPos val="b"/>
        <c:majorTickMark val="none"/>
        <c:tickLblPos val="nextTo"/>
        <c:crossAx val="233118336"/>
        <c:crosses val="autoZero"/>
        <c:auto val="1"/>
        <c:lblAlgn val="ctr"/>
        <c:lblOffset val="100"/>
      </c:catAx>
      <c:valAx>
        <c:axId val="233118336"/>
        <c:scaling>
          <c:orientation val="minMax"/>
        </c:scaling>
        <c:axPos val="l"/>
        <c:majorGridlines/>
        <c:numFmt formatCode="0.00%" sourceLinked="1"/>
        <c:majorTickMark val="none"/>
        <c:tickLblPos val="nextTo"/>
        <c:spPr>
          <a:ln w="9525">
            <a:noFill/>
          </a:ln>
        </c:spPr>
        <c:crossAx val="233116032"/>
        <c:crosses val="autoZero"/>
        <c:crossBetween val="between"/>
      </c:valAx>
    </c:plotArea>
    <c:legend>
      <c:legendPos val="b"/>
      <c:txPr>
        <a:bodyPr/>
        <a:lstStyle/>
        <a:p>
          <a:pPr>
            <a:defRPr baseline="0">
              <a:ea typeface="標楷體" pitchFamily="65" charset="-120"/>
            </a:defRPr>
          </a:pPr>
          <a:endParaRPr lang="zh-TW"/>
        </a:p>
      </c:txPr>
    </c:legend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5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pc03</dc:creator>
  <cp:lastModifiedBy>pc03</cp:lastModifiedBy>
  <cp:revision>8</cp:revision>
  <cp:lastPrinted>2018-07-02T07:48:00Z</cp:lastPrinted>
  <dcterms:created xsi:type="dcterms:W3CDTF">2018-07-02T01:45:00Z</dcterms:created>
  <dcterms:modified xsi:type="dcterms:W3CDTF">2018-07-02T08:53:00Z</dcterms:modified>
</cp:coreProperties>
</file>