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1E1" w:rsidRPr="0083369E" w:rsidRDefault="004F5F59" w:rsidP="00245676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83369E">
        <w:rPr>
          <w:rFonts w:ascii="標楷體" w:eastAsia="標楷體" w:hAnsi="標楷體" w:hint="eastAsia"/>
          <w:b/>
          <w:noProof/>
          <w:sz w:val="48"/>
          <w:szCs w:val="4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1085127</wp:posOffset>
            </wp:positionH>
            <wp:positionV relativeFrom="paragraph">
              <wp:posOffset>445625</wp:posOffset>
            </wp:positionV>
            <wp:extent cx="2818435" cy="2372810"/>
            <wp:effectExtent l="19050" t="0" r="965" b="0"/>
            <wp:wrapNone/>
            <wp:docPr id="1" name="圖片 0" descr="湖西鄉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湖西鄉徽.jpg"/>
                    <pic:cNvPicPr/>
                  </pic:nvPicPr>
                  <pic:blipFill>
                    <a:blip r:embed="rId8" cstate="print">
                      <a:lum bright="75000" contrast="-8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435" cy="2372810"/>
                    </a:xfrm>
                    <a:prstGeom prst="rect">
                      <a:avLst/>
                    </a:prstGeom>
                    <a:effectLst>
                      <a:outerShdw blurRad="50800" sx="1000" sy="1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  <w:r w:rsidR="00245676" w:rsidRPr="0083369E">
        <w:rPr>
          <w:rFonts w:ascii="標楷體" w:eastAsia="標楷體" w:hAnsi="標楷體" w:hint="eastAsia"/>
          <w:b/>
          <w:sz w:val="48"/>
          <w:szCs w:val="48"/>
        </w:rPr>
        <w:t>澎湖縣湖西鄉公所統計通報</w:t>
      </w:r>
    </w:p>
    <w:p w:rsidR="00BD2216" w:rsidRPr="001A71A7" w:rsidRDefault="00245676" w:rsidP="001907E6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 </w:t>
      </w:r>
      <w:r w:rsidR="001A71A7">
        <w:rPr>
          <w:rFonts w:ascii="標楷體" w:eastAsia="標楷體" w:hAnsi="標楷體" w:hint="eastAsia"/>
          <w:sz w:val="28"/>
        </w:rPr>
        <w:t xml:space="preserve">      </w:t>
      </w:r>
      <w:r w:rsidR="001A71A7" w:rsidRPr="0083369E">
        <w:rPr>
          <w:rFonts w:ascii="標楷體" w:eastAsia="標楷體" w:hAnsi="標楷體" w:hint="eastAsia"/>
          <w:sz w:val="32"/>
          <w:szCs w:val="32"/>
        </w:rPr>
        <w:t>湖西鄉調解業務概況</w:t>
      </w:r>
      <w:r w:rsidRPr="0083369E">
        <w:rPr>
          <w:rFonts w:ascii="標楷體" w:eastAsia="標楷體" w:hAnsi="標楷體" w:hint="eastAsia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sz w:val="28"/>
        </w:rPr>
        <w:t xml:space="preserve">       </w:t>
      </w:r>
      <w:r w:rsidR="001A71A7">
        <w:rPr>
          <w:rFonts w:ascii="標楷體" w:eastAsia="標楷體" w:hAnsi="標楷體" w:hint="eastAsia"/>
          <w:sz w:val="20"/>
        </w:rPr>
        <w:t>113</w:t>
      </w:r>
      <w:r w:rsidRPr="00245676">
        <w:rPr>
          <w:rFonts w:ascii="標楷體" w:eastAsia="標楷體" w:hAnsi="標楷體" w:hint="eastAsia"/>
          <w:sz w:val="20"/>
        </w:rPr>
        <w:t>年</w:t>
      </w:r>
      <w:r w:rsidR="00EA0183">
        <w:rPr>
          <w:rFonts w:ascii="標楷體" w:eastAsia="標楷體" w:hAnsi="標楷體" w:hint="eastAsia"/>
          <w:sz w:val="20"/>
        </w:rPr>
        <w:t>7</w:t>
      </w:r>
      <w:r w:rsidR="00FC5FCE">
        <w:rPr>
          <w:rFonts w:ascii="標楷體" w:eastAsia="標楷體" w:hAnsi="標楷體" w:hint="eastAsia"/>
          <w:sz w:val="20"/>
        </w:rPr>
        <w:t>月</w:t>
      </w:r>
    </w:p>
    <w:p w:rsidR="00E8164C" w:rsidRPr="00FE7ABC" w:rsidRDefault="00E8164C" w:rsidP="00467670">
      <w:pPr>
        <w:pStyle w:val="Default"/>
        <w:rPr>
          <w:rFonts w:ascii="標楷體" w:eastAsia="標楷體" w:cs="標楷體"/>
          <w:sz w:val="28"/>
          <w:szCs w:val="28"/>
        </w:rPr>
      </w:pPr>
    </w:p>
    <w:p w:rsidR="00423A02" w:rsidRPr="00FE7ABC" w:rsidRDefault="00E8164C" w:rsidP="00467670">
      <w:pPr>
        <w:pStyle w:val="Default"/>
        <w:numPr>
          <w:ilvl w:val="0"/>
          <w:numId w:val="2"/>
        </w:numPr>
        <w:rPr>
          <w:rFonts w:ascii="標楷體" w:eastAsia="標楷體" w:hAnsi="標楷體" w:cs="標楷體"/>
          <w:sz w:val="28"/>
          <w:szCs w:val="28"/>
        </w:rPr>
      </w:pPr>
      <w:r w:rsidRPr="00FE7ABC">
        <w:rPr>
          <w:rFonts w:ascii="標楷體" w:eastAsia="標楷體" w:hAnsi="標楷體" w:cs="標楷體" w:hint="eastAsia"/>
          <w:sz w:val="28"/>
          <w:szCs w:val="28"/>
        </w:rPr>
        <w:t>前言</w:t>
      </w:r>
    </w:p>
    <w:p w:rsidR="005637E4" w:rsidRDefault="00E8164C" w:rsidP="005637E4">
      <w:pPr>
        <w:pStyle w:val="Default"/>
        <w:ind w:left="590"/>
        <w:rPr>
          <w:rFonts w:ascii="標楷體" w:eastAsia="標楷體" w:hAnsi="標楷體"/>
          <w:sz w:val="28"/>
          <w:szCs w:val="28"/>
        </w:rPr>
      </w:pPr>
      <w:r w:rsidRPr="00FE7ABC">
        <w:rPr>
          <w:rFonts w:ascii="標楷體" w:eastAsia="標楷體" w:hAnsi="標楷體"/>
          <w:sz w:val="28"/>
          <w:szCs w:val="28"/>
        </w:rPr>
        <w:t>調解業務是指一種非常具體的法律服務，其目的在於解決爭議或</w:t>
      </w:r>
    </w:p>
    <w:p w:rsidR="00E8164C" w:rsidRPr="00FE7ABC" w:rsidRDefault="00E8164C" w:rsidP="004A0462">
      <w:pPr>
        <w:pStyle w:val="Default"/>
        <w:rPr>
          <w:rFonts w:ascii="標楷體" w:eastAsia="標楷體" w:hAnsi="標楷體"/>
          <w:sz w:val="28"/>
          <w:szCs w:val="28"/>
        </w:rPr>
      </w:pPr>
      <w:r w:rsidRPr="00FE7ABC">
        <w:rPr>
          <w:rFonts w:ascii="標楷體" w:eastAsia="標楷體" w:hAnsi="標楷體"/>
          <w:sz w:val="28"/>
          <w:szCs w:val="28"/>
        </w:rPr>
        <w:t>衝突並節省時間和費用。公所作為中立的第三方，協助雙方當事人在爭議中達成共識或</w:t>
      </w:r>
      <w:r w:rsidR="00467670" w:rsidRPr="00FE7ABC">
        <w:rPr>
          <w:rFonts w:ascii="標楷體" w:eastAsia="標楷體" w:hAnsi="標楷體"/>
          <w:sz w:val="28"/>
          <w:szCs w:val="28"/>
        </w:rPr>
        <w:t xml:space="preserve"> </w:t>
      </w:r>
      <w:r w:rsidRPr="00FE7ABC">
        <w:rPr>
          <w:rFonts w:ascii="標楷體" w:eastAsia="標楷體" w:hAnsi="標楷體"/>
          <w:sz w:val="28"/>
          <w:szCs w:val="28"/>
        </w:rPr>
        <w:t>協議，而無需進入法院訴訟程序，調解的類型包括民事和商業爭端，如合同糾紛、家庭糾紛、租賃問題等，其過程包括收集信息、促進溝通、協助當事人理解彼此立場和利益，以便尋找雙方都能接受的解決方案。</w:t>
      </w:r>
    </w:p>
    <w:p w:rsidR="00672AC0" w:rsidRPr="00FE7ABC" w:rsidRDefault="00C5647C" w:rsidP="00467670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FE7AB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二、調解組織委員概況</w:t>
      </w:r>
    </w:p>
    <w:p w:rsidR="000C1638" w:rsidRDefault="00D77E75" w:rsidP="000C1638">
      <w:pPr>
        <w:pStyle w:val="Default"/>
        <w:rPr>
          <w:rFonts w:ascii="標楷體" w:eastAsia="標楷體" w:hAnsi="標楷體"/>
          <w:sz w:val="28"/>
          <w:szCs w:val="28"/>
        </w:rPr>
      </w:pPr>
      <w:r w:rsidRPr="00FE7ABC"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672AC0" w:rsidRPr="00FE7ABC">
        <w:rPr>
          <w:rFonts w:ascii="標楷體" w:eastAsia="標楷體" w:hAnsi="標楷體" w:cs="標楷體" w:hint="eastAsia"/>
          <w:sz w:val="28"/>
          <w:szCs w:val="28"/>
        </w:rPr>
        <w:t>調解委員會委員由鄉、鎮、市長遴選鄉、鎮、市內具有法律或其他專業知識及信望素孚之公正人士</w:t>
      </w:r>
      <w:r w:rsidR="00296091" w:rsidRPr="00FE7ABC">
        <w:rPr>
          <w:rFonts w:ascii="標楷體" w:eastAsia="標楷體" w:hAnsi="標楷體" w:cs="標楷體" w:hint="eastAsia"/>
          <w:sz w:val="28"/>
          <w:szCs w:val="28"/>
        </w:rPr>
        <w:t>；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本鄉</w:t>
      </w:r>
      <w:r w:rsidR="00672AC0" w:rsidRPr="00FE7ABC">
        <w:rPr>
          <w:rFonts w:ascii="標楷體" w:eastAsia="標楷體" w:hAnsi="標楷體"/>
          <w:sz w:val="28"/>
          <w:szCs w:val="28"/>
        </w:rPr>
        <w:t>112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年調解委員</w:t>
      </w:r>
      <w:r w:rsidR="00F77019" w:rsidRPr="00FE7ABC">
        <w:rPr>
          <w:rFonts w:ascii="標楷體" w:eastAsia="標楷體" w:hAnsi="標楷體" w:hint="eastAsia"/>
          <w:sz w:val="28"/>
          <w:szCs w:val="28"/>
        </w:rPr>
        <w:t>總人數為7人，性別方面男性</w:t>
      </w:r>
      <w:r w:rsidR="00F77019" w:rsidRPr="00FE7ABC">
        <w:rPr>
          <w:rFonts w:ascii="標楷體" w:eastAsia="標楷體" w:hAnsi="標楷體"/>
          <w:sz w:val="28"/>
          <w:szCs w:val="28"/>
        </w:rPr>
        <w:t>5</w:t>
      </w:r>
      <w:r w:rsidR="00F77019" w:rsidRPr="00FE7ABC">
        <w:rPr>
          <w:rFonts w:ascii="標楷體" w:eastAsia="標楷體" w:hAnsi="標楷體" w:hint="eastAsia"/>
          <w:sz w:val="28"/>
          <w:szCs w:val="28"/>
        </w:rPr>
        <w:t>位，女性則為</w:t>
      </w:r>
      <w:r w:rsidR="00F77019" w:rsidRPr="00FE7ABC">
        <w:rPr>
          <w:rFonts w:ascii="標楷體" w:eastAsia="標楷體" w:hAnsi="標楷體"/>
          <w:sz w:val="28"/>
          <w:szCs w:val="28"/>
        </w:rPr>
        <w:t>2</w:t>
      </w:r>
      <w:r w:rsidR="00F77019" w:rsidRPr="00FE7ABC">
        <w:rPr>
          <w:rFonts w:ascii="標楷體" w:eastAsia="標楷體" w:hAnsi="標楷體" w:hint="eastAsia"/>
          <w:sz w:val="28"/>
          <w:szCs w:val="28"/>
        </w:rPr>
        <w:t>位，</w:t>
      </w:r>
      <w:r w:rsidR="00296091" w:rsidRPr="00FE7ABC">
        <w:rPr>
          <w:rFonts w:ascii="標楷體" w:eastAsia="標楷體" w:hAnsi="標楷體" w:hint="eastAsia"/>
          <w:sz w:val="28"/>
          <w:szCs w:val="28"/>
        </w:rPr>
        <w:t>年齡皆為60歲以上；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教育程度方面，</w:t>
      </w:r>
      <w:r w:rsidR="00296091" w:rsidRPr="00FE7ABC">
        <w:rPr>
          <w:rFonts w:ascii="標楷體" w:eastAsia="標楷體" w:hAnsi="標楷體" w:hint="eastAsia"/>
          <w:sz w:val="28"/>
          <w:szCs w:val="28"/>
        </w:rPr>
        <w:t>大學院校1位，專科學校2位，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高中</w:t>
      </w:r>
      <w:r w:rsidR="00672AC0" w:rsidRPr="00FE7ABC">
        <w:rPr>
          <w:rFonts w:ascii="標楷體" w:eastAsia="標楷體" w:hAnsi="標楷體"/>
          <w:sz w:val="28"/>
          <w:szCs w:val="28"/>
        </w:rPr>
        <w:t>(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職</w:t>
      </w:r>
      <w:r w:rsidR="00672AC0" w:rsidRPr="00FE7ABC">
        <w:rPr>
          <w:rFonts w:ascii="標楷體" w:eastAsia="標楷體" w:hAnsi="標楷體"/>
          <w:sz w:val="28"/>
          <w:szCs w:val="28"/>
        </w:rPr>
        <w:t>)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有</w:t>
      </w:r>
      <w:r w:rsidR="00296091" w:rsidRPr="00FE7ABC">
        <w:rPr>
          <w:rFonts w:ascii="標楷體" w:eastAsia="標楷體" w:hAnsi="標楷體"/>
          <w:sz w:val="28"/>
          <w:szCs w:val="28"/>
        </w:rPr>
        <w:t>2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位，</w:t>
      </w:r>
      <w:r w:rsidR="00296091" w:rsidRPr="00FE7ABC">
        <w:rPr>
          <w:rFonts w:ascii="標楷體" w:eastAsia="標楷體" w:hAnsi="標楷體" w:hint="eastAsia"/>
          <w:sz w:val="28"/>
          <w:szCs w:val="28"/>
        </w:rPr>
        <w:t>國中1位，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國小</w:t>
      </w:r>
      <w:r w:rsidR="00672AC0" w:rsidRPr="00FE7ABC">
        <w:rPr>
          <w:rFonts w:ascii="標楷體" w:eastAsia="標楷體" w:hAnsi="標楷體"/>
          <w:sz w:val="28"/>
          <w:szCs w:val="28"/>
        </w:rPr>
        <w:t>(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含</w:t>
      </w:r>
      <w:r w:rsidR="00672AC0" w:rsidRPr="00FE7ABC">
        <w:rPr>
          <w:rFonts w:ascii="標楷體" w:eastAsia="標楷體" w:hAnsi="標楷體"/>
          <w:sz w:val="28"/>
          <w:szCs w:val="28"/>
        </w:rPr>
        <w:t>)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以下之學歷</w:t>
      </w:r>
      <w:r w:rsidR="00296091" w:rsidRPr="00FE7ABC">
        <w:rPr>
          <w:rFonts w:ascii="標楷體" w:eastAsia="標楷體" w:hAnsi="標楷體" w:hint="eastAsia"/>
          <w:sz w:val="28"/>
          <w:szCs w:val="28"/>
        </w:rPr>
        <w:t>有</w:t>
      </w:r>
      <w:r w:rsidR="00672AC0" w:rsidRPr="00FE7ABC">
        <w:rPr>
          <w:rFonts w:ascii="標楷體" w:eastAsia="標楷體" w:hAnsi="標楷體"/>
          <w:sz w:val="28"/>
          <w:szCs w:val="28"/>
        </w:rPr>
        <w:t>1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位；</w:t>
      </w:r>
      <w:r w:rsidR="00296091" w:rsidRPr="00FE7ABC">
        <w:rPr>
          <w:rFonts w:ascii="標楷體" w:eastAsia="標楷體" w:hAnsi="標楷體" w:hint="eastAsia"/>
          <w:sz w:val="28"/>
          <w:szCs w:val="28"/>
        </w:rPr>
        <w:t>從事行業方面，商業1為，其他6為從事服務業及其他行業；</w:t>
      </w:r>
      <w:r w:rsidR="001B6149" w:rsidRPr="00FE7ABC">
        <w:rPr>
          <w:rFonts w:ascii="標楷體" w:eastAsia="標楷體" w:hAnsi="標楷體" w:hint="eastAsia"/>
          <w:sz w:val="28"/>
          <w:szCs w:val="28"/>
        </w:rPr>
        <w:t>5為從服務於公職，2為未曾任公職；委員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年資方面，未滿</w:t>
      </w:r>
      <w:r w:rsidR="00672AC0" w:rsidRPr="00FE7ABC">
        <w:rPr>
          <w:rFonts w:ascii="標楷體" w:eastAsia="標楷體" w:hAnsi="標楷體"/>
          <w:sz w:val="28"/>
          <w:szCs w:val="28"/>
        </w:rPr>
        <w:t>4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年之調解委員有</w:t>
      </w:r>
      <w:r w:rsidR="001B6149" w:rsidRPr="00FE7ABC">
        <w:rPr>
          <w:rFonts w:ascii="標楷體" w:eastAsia="標楷體" w:hAnsi="標楷體"/>
          <w:sz w:val="28"/>
          <w:szCs w:val="28"/>
        </w:rPr>
        <w:t>3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位，</w:t>
      </w:r>
      <w:r w:rsidR="001B6149" w:rsidRPr="00FE7ABC">
        <w:rPr>
          <w:rFonts w:ascii="標楷體" w:eastAsia="標楷體" w:hAnsi="標楷體"/>
          <w:sz w:val="28"/>
          <w:szCs w:val="28"/>
        </w:rPr>
        <w:t xml:space="preserve"> </w:t>
      </w:r>
      <w:r w:rsidR="00672AC0" w:rsidRPr="00FE7ABC">
        <w:rPr>
          <w:rFonts w:ascii="標楷體" w:eastAsia="標楷體" w:hAnsi="標楷體"/>
          <w:sz w:val="28"/>
          <w:szCs w:val="28"/>
        </w:rPr>
        <w:t>8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年至未滿</w:t>
      </w:r>
      <w:r w:rsidR="00672AC0" w:rsidRPr="00FE7ABC">
        <w:rPr>
          <w:rFonts w:ascii="標楷體" w:eastAsia="標楷體" w:hAnsi="標楷體"/>
          <w:sz w:val="28"/>
          <w:szCs w:val="28"/>
        </w:rPr>
        <w:t>16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年有</w:t>
      </w:r>
      <w:r w:rsidR="001B6149" w:rsidRPr="00FE7ABC">
        <w:rPr>
          <w:rFonts w:ascii="標楷體" w:eastAsia="標楷體" w:hAnsi="標楷體"/>
          <w:sz w:val="28"/>
          <w:szCs w:val="28"/>
        </w:rPr>
        <w:t>3</w:t>
      </w:r>
      <w:r w:rsidR="001B6149" w:rsidRPr="00FE7ABC">
        <w:rPr>
          <w:rFonts w:ascii="標楷體" w:eastAsia="標楷體" w:hAnsi="標楷體" w:hint="eastAsia"/>
          <w:sz w:val="28"/>
          <w:szCs w:val="28"/>
        </w:rPr>
        <w:t>位，年資</w:t>
      </w:r>
      <w:r w:rsidR="00672AC0" w:rsidRPr="00FE7ABC">
        <w:rPr>
          <w:rFonts w:ascii="標楷體" w:eastAsia="標楷體" w:hAnsi="標楷體"/>
          <w:sz w:val="28"/>
          <w:szCs w:val="28"/>
        </w:rPr>
        <w:t>16</w:t>
      </w:r>
      <w:r w:rsidR="00672AC0" w:rsidRPr="00FE7ABC">
        <w:rPr>
          <w:rFonts w:ascii="標楷體" w:eastAsia="標楷體" w:hAnsi="標楷體" w:hint="eastAsia"/>
          <w:sz w:val="28"/>
          <w:szCs w:val="28"/>
        </w:rPr>
        <w:t>年以上有</w:t>
      </w:r>
      <w:r w:rsidR="001B6149" w:rsidRPr="00FE7ABC">
        <w:rPr>
          <w:rFonts w:ascii="標楷體" w:eastAsia="標楷體" w:hAnsi="標楷體"/>
          <w:sz w:val="28"/>
          <w:szCs w:val="28"/>
        </w:rPr>
        <w:t>1</w:t>
      </w:r>
      <w:r w:rsidR="000C1638">
        <w:rPr>
          <w:rFonts w:ascii="標楷體" w:eastAsia="標楷體" w:hAnsi="標楷體" w:hint="eastAsia"/>
          <w:sz w:val="28"/>
          <w:szCs w:val="28"/>
        </w:rPr>
        <w:t>位</w:t>
      </w:r>
      <w:r w:rsidR="00672AC0" w:rsidRPr="00FE7ABC">
        <w:rPr>
          <w:rFonts w:ascii="標楷體" w:eastAsia="標楷體" w:hAnsi="標楷體"/>
          <w:sz w:val="28"/>
          <w:szCs w:val="28"/>
        </w:rPr>
        <w:t>(</w:t>
      </w:r>
      <w:r w:rsidR="001B6149" w:rsidRPr="00FE7ABC">
        <w:rPr>
          <w:rFonts w:ascii="標楷體" w:eastAsia="標楷體" w:hAnsi="標楷體" w:hint="eastAsia"/>
          <w:sz w:val="28"/>
          <w:szCs w:val="28"/>
        </w:rPr>
        <w:t>表</w:t>
      </w:r>
      <w:proofErr w:type="gramStart"/>
      <w:r w:rsidR="001B6149" w:rsidRPr="00FE7AB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672AC0" w:rsidRPr="00FE7ABC">
        <w:rPr>
          <w:rFonts w:ascii="標楷體" w:eastAsia="標楷體" w:hAnsi="標楷體"/>
          <w:sz w:val="28"/>
          <w:szCs w:val="28"/>
        </w:rPr>
        <w:t>)</w:t>
      </w:r>
      <w:r w:rsidR="000C1638">
        <w:rPr>
          <w:rFonts w:ascii="標楷體" w:eastAsia="標楷體" w:hAnsi="標楷體"/>
          <w:sz w:val="28"/>
          <w:szCs w:val="28"/>
        </w:rPr>
        <w:t>，</w:t>
      </w:r>
      <w:r w:rsidR="000C1638">
        <w:rPr>
          <w:rFonts w:ascii="標楷體" w:eastAsia="標楷體" w:hAnsi="標楷體" w:hint="eastAsia"/>
          <w:sz w:val="28"/>
          <w:szCs w:val="28"/>
        </w:rPr>
        <w:t>(圖一)為108年-112年調解委員性別比例與人數。</w:t>
      </w:r>
    </w:p>
    <w:p w:rsidR="00E308ED" w:rsidRPr="000C1638" w:rsidRDefault="00FC15F6" w:rsidP="00467670">
      <w:pPr>
        <w:pStyle w:val="Default"/>
        <w:rPr>
          <w:rFonts w:ascii="標楷體" w:eastAsia="標楷體" w:hAnsi="標楷體"/>
          <w:sz w:val="28"/>
          <w:szCs w:val="28"/>
        </w:rPr>
      </w:pPr>
      <w:r w:rsidRPr="00FE7ABC">
        <w:rPr>
          <w:rFonts w:ascii="標楷體" w:eastAsia="標楷體" w:hAnsi="標楷體"/>
          <w:sz w:val="28"/>
          <w:szCs w:val="28"/>
        </w:rPr>
        <w:lastRenderedPageBreak/>
        <w:t>(</w:t>
      </w:r>
      <w:r w:rsidRPr="00FE7ABC">
        <w:rPr>
          <w:rFonts w:ascii="標楷體" w:eastAsia="標楷體" w:hAnsi="標楷體" w:hint="eastAsia"/>
          <w:sz w:val="28"/>
          <w:szCs w:val="28"/>
        </w:rPr>
        <w:t>表</w:t>
      </w:r>
      <w:proofErr w:type="gramStart"/>
      <w:r w:rsidRPr="00FE7AB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FE7ABC">
        <w:rPr>
          <w:rFonts w:ascii="標楷體" w:eastAsia="標楷體" w:hAnsi="標楷體"/>
          <w:sz w:val="28"/>
          <w:szCs w:val="28"/>
        </w:rPr>
        <w:t>)</w:t>
      </w:r>
      <w:r w:rsidRPr="00FC15F6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sz w:val="28"/>
          <w:szCs w:val="28"/>
        </w:rPr>
        <w:t>112年</w:t>
      </w:r>
      <w:r w:rsidRPr="00FE7ABC">
        <w:rPr>
          <w:rFonts w:ascii="標楷體" w:eastAsia="標楷體" w:hAnsi="標楷體" w:cs="標楷體" w:hint="eastAsia"/>
          <w:sz w:val="28"/>
          <w:szCs w:val="28"/>
        </w:rPr>
        <w:t>調解組織委員概況</w:t>
      </w:r>
    </w:p>
    <w:p w:rsidR="00E308ED" w:rsidRDefault="00E308ED" w:rsidP="00672AC0">
      <w:pPr>
        <w:pStyle w:val="Defaul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5274310" cy="1271270"/>
            <wp:effectExtent l="19050" t="0" r="2540" b="0"/>
            <wp:docPr id="4" name="圖片 3" descr="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77B" w:rsidRDefault="0004477B" w:rsidP="00672AC0">
      <w:pPr>
        <w:pStyle w:val="Defaul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(圖一)108年-112年調解委員性別比例與人數</w:t>
      </w:r>
    </w:p>
    <w:p w:rsidR="0004477B" w:rsidRDefault="0004477B" w:rsidP="00672AC0">
      <w:pPr>
        <w:pStyle w:val="Defaul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5274310" cy="3076575"/>
            <wp:effectExtent l="19050" t="0" r="21590" b="0"/>
            <wp:docPr id="3" name="圖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72A44" w:rsidRPr="00FE7ABC" w:rsidRDefault="00072A44" w:rsidP="00072A44">
      <w:pPr>
        <w:pStyle w:val="Default"/>
        <w:numPr>
          <w:ilvl w:val="0"/>
          <w:numId w:val="3"/>
        </w:numPr>
        <w:rPr>
          <w:rFonts w:ascii="標楷體" w:eastAsia="標楷體" w:hAnsi="標楷體" w:cs="Times New Roman"/>
          <w:sz w:val="28"/>
          <w:szCs w:val="28"/>
        </w:rPr>
      </w:pPr>
      <w:r w:rsidRPr="00072A44">
        <w:rPr>
          <w:rFonts w:ascii="標楷體" w:eastAsia="標楷體" w:hAnsi="標楷體" w:cs="Times New Roman"/>
          <w:sz w:val="28"/>
          <w:szCs w:val="28"/>
        </w:rPr>
        <w:t xml:space="preserve">調解案件辦理情形 </w:t>
      </w:r>
    </w:p>
    <w:p w:rsidR="00FC15F6" w:rsidRDefault="00072A44" w:rsidP="00FC15F6">
      <w:pPr>
        <w:pStyle w:val="a9"/>
        <w:numPr>
          <w:ilvl w:val="0"/>
          <w:numId w:val="5"/>
        </w:numPr>
        <w:autoSpaceDE w:val="0"/>
        <w:autoSpaceDN w:val="0"/>
        <w:adjustRightInd w:val="0"/>
        <w:ind w:leftChars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調解案件可分類為民事案件及刑事案件，</w:t>
      </w:r>
      <w:r w:rsidR="006A37FB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民事案件按債權、債務、物權、親屬、繼承、商事、營建工程及其他分，刑事案件按妨害風化、妨害婚姻及家庭、傷害、妨害自由名譽信用及秘密、竊盜及侵占詐欺、毀棄損壞及其他分。</w:t>
      </w:r>
      <w:r w:rsidR="00FE7ABC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由</w:t>
      </w:r>
      <w:proofErr w:type="gramStart"/>
      <w:r w:rsidR="00FE7ABC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本鄉</w:t>
      </w:r>
      <w:r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至</w:t>
      </w:r>
      <w:r w:rsidR="00FE7ABC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108年</w:t>
      </w:r>
      <w:proofErr w:type="gramEnd"/>
      <w:r w:rsidR="00FE7ABC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至</w:t>
      </w:r>
      <w:r w:rsidR="00FE7ABC" w:rsidRPr="00FC15F6">
        <w:rPr>
          <w:rFonts w:ascii="標楷體" w:eastAsia="標楷體" w:hAnsi="標楷體" w:cs="標楷體"/>
          <w:color w:val="000000"/>
          <w:kern w:val="0"/>
          <w:sz w:val="28"/>
          <w:szCs w:val="28"/>
        </w:rPr>
        <w:t>112</w:t>
      </w:r>
      <w:r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年統計資料</w:t>
      </w:r>
      <w:r w:rsidR="00FE7ABC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可知，每年的民</w:t>
      </w:r>
      <w:r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事</w:t>
      </w:r>
      <w:r w:rsidR="00FE7ABC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調解案件數皆多於刑事調解</w:t>
      </w:r>
      <w:r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案件數</w:t>
      </w:r>
      <w:r w:rsidR="00B44DFC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(</w:t>
      </w:r>
      <w:r w:rsidR="00FC15F6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圖二</w:t>
      </w:r>
      <w:r w:rsidR="00B44DFC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)</w:t>
      </w:r>
      <w:r w:rsidR="00E00AE7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，112年調解債權、債務2</w:t>
      </w:r>
      <w:r w:rsidR="00E00AE7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lastRenderedPageBreak/>
        <w:t>件</w:t>
      </w:r>
      <w:r w:rsidR="00A83B16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，商事1件，其他11件</w:t>
      </w:r>
      <w:r w:rsidR="00D16B76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，成立比率為57%</w:t>
      </w:r>
      <w:r w:rsidR="00FC15F6"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。</w:t>
      </w:r>
    </w:p>
    <w:p w:rsidR="00FC15F6" w:rsidRPr="00FC15F6" w:rsidRDefault="00FC15F6" w:rsidP="00FC15F6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FC15F6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圖二</w:t>
      </w:r>
    </w:p>
    <w:p w:rsidR="00FC15F6" w:rsidRDefault="00FC15F6" w:rsidP="00FC15F6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FC15F6">
        <w:rPr>
          <w:rFonts w:ascii="標楷體" w:eastAsia="標楷體" w:hAnsi="標楷體" w:cs="標楷體"/>
          <w:noProof/>
          <w:color w:val="000000"/>
          <w:kern w:val="0"/>
          <w:sz w:val="28"/>
          <w:szCs w:val="28"/>
        </w:rPr>
        <w:drawing>
          <wp:inline distT="0" distB="0" distL="0" distR="0">
            <wp:extent cx="5274310" cy="2565400"/>
            <wp:effectExtent l="19050" t="0" r="21590" b="6350"/>
            <wp:docPr id="5" name="圖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A587C" w:rsidRPr="00FC15F6" w:rsidRDefault="00FC15F6" w:rsidP="00FC15F6">
      <w:pPr>
        <w:autoSpaceDE w:val="0"/>
        <w:autoSpaceDN w:val="0"/>
        <w:adjustRightInd w:val="0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(二)</w:t>
      </w:r>
      <w:r w:rsidR="00A83B16" w:rsidRPr="00FC15F6">
        <w:rPr>
          <w:rFonts w:ascii="標楷體" w:eastAsia="標楷體" w:cs="標楷體" w:hint="eastAsia"/>
          <w:color w:val="000000"/>
          <w:kern w:val="0"/>
          <w:sz w:val="28"/>
          <w:szCs w:val="28"/>
        </w:rPr>
        <w:t>調解案件可依成立與不成立區分</w:t>
      </w:r>
    </w:p>
    <w:p w:rsidR="00AA587C" w:rsidRPr="00AA587C" w:rsidRDefault="00FC15F6" w:rsidP="00AA587C">
      <w:pPr>
        <w:autoSpaceDE w:val="0"/>
        <w:autoSpaceDN w:val="0"/>
        <w:adjustRightInd w:val="0"/>
        <w:ind w:left="720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由本鄉</w:t>
      </w:r>
      <w:r>
        <w:rPr>
          <w:rFonts w:ascii="標楷體" w:eastAsia="標楷體" w:cs="標楷體"/>
          <w:color w:val="000000"/>
          <w:kern w:val="0"/>
          <w:sz w:val="28"/>
          <w:szCs w:val="28"/>
        </w:rPr>
        <w:t>108</w:t>
      </w:r>
      <w:r w:rsidR="00AA587C" w:rsidRPr="00AA587C">
        <w:rPr>
          <w:rFonts w:ascii="標楷體" w:eastAsia="標楷體" w:cs="標楷體" w:hint="eastAsia"/>
          <w:color w:val="000000"/>
          <w:kern w:val="0"/>
          <w:sz w:val="28"/>
          <w:szCs w:val="28"/>
        </w:rPr>
        <w:t>年至</w:t>
      </w:r>
      <w:r>
        <w:rPr>
          <w:rFonts w:ascii="標楷體" w:eastAsia="標楷體" w:cs="標楷體"/>
          <w:color w:val="000000"/>
          <w:kern w:val="0"/>
          <w:sz w:val="28"/>
          <w:szCs w:val="28"/>
        </w:rPr>
        <w:t>112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年</w:t>
      </w:r>
      <w:r w:rsidRPr="00AA587C">
        <w:rPr>
          <w:rFonts w:ascii="標楷體" w:eastAsia="標楷體" w:cs="標楷體" w:hint="eastAsia"/>
          <w:color w:val="000000"/>
          <w:kern w:val="0"/>
          <w:sz w:val="28"/>
          <w:szCs w:val="28"/>
        </w:rPr>
        <w:t>五年期間</w:t>
      </w:r>
      <w:r w:rsidR="00AA587C" w:rsidRPr="00AA587C">
        <w:rPr>
          <w:rFonts w:ascii="標楷體" w:eastAsia="標楷體" w:cs="標楷體" w:hint="eastAsia"/>
          <w:color w:val="000000"/>
          <w:kern w:val="0"/>
          <w:sz w:val="28"/>
          <w:szCs w:val="28"/>
        </w:rPr>
        <w:t>之統計資料可觀察到，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108年、109年及112年案件調解成立高於不成立，110年與111年調解案件不成立高於成立</w:t>
      </w:r>
      <w:r w:rsidR="00AA587C" w:rsidRPr="00AA587C">
        <w:rPr>
          <w:rFonts w:ascii="標楷體" w:eastAsia="標楷體" w:cs="標楷體" w:hint="eastAsia"/>
          <w:color w:val="000000"/>
          <w:kern w:val="0"/>
          <w:sz w:val="28"/>
          <w:szCs w:val="28"/>
        </w:rPr>
        <w:t>。</w:t>
      </w:r>
      <w:r w:rsidR="00AA587C" w:rsidRPr="00AA587C">
        <w:rPr>
          <w:rFonts w:ascii="標楷體" w:eastAsia="標楷體" w:cs="標楷體"/>
          <w:color w:val="000000"/>
          <w:kern w:val="0"/>
          <w:sz w:val="28"/>
          <w:szCs w:val="28"/>
        </w:rPr>
        <w:t>(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圖三</w:t>
      </w:r>
      <w:r w:rsidR="00AA587C" w:rsidRPr="00AA587C">
        <w:rPr>
          <w:rFonts w:ascii="標楷體" w:eastAsia="標楷體" w:cs="標楷體"/>
          <w:color w:val="000000"/>
          <w:kern w:val="0"/>
          <w:sz w:val="28"/>
          <w:szCs w:val="28"/>
        </w:rPr>
        <w:t xml:space="preserve">) </w:t>
      </w:r>
    </w:p>
    <w:p w:rsidR="00624F58" w:rsidRPr="00624F58" w:rsidRDefault="00AA587C" w:rsidP="00624F58">
      <w:pPr>
        <w:autoSpaceDE w:val="0"/>
        <w:autoSpaceDN w:val="0"/>
        <w:adjustRightInd w:val="0"/>
        <w:ind w:left="720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/>
          <w:noProof/>
          <w:color w:val="000000"/>
          <w:kern w:val="0"/>
          <w:sz w:val="28"/>
          <w:szCs w:val="28"/>
        </w:rPr>
        <w:drawing>
          <wp:inline distT="0" distB="0" distL="0" distR="0">
            <wp:extent cx="5274310" cy="3076575"/>
            <wp:effectExtent l="19050" t="0" r="21590" b="0"/>
            <wp:docPr id="2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24F58" w:rsidRPr="00624F58" w:rsidRDefault="00624F58" w:rsidP="00624F58">
      <w:pPr>
        <w:pStyle w:val="a9"/>
        <w:numPr>
          <w:ilvl w:val="0"/>
          <w:numId w:val="3"/>
        </w:numPr>
        <w:autoSpaceDE w:val="0"/>
        <w:autoSpaceDN w:val="0"/>
        <w:adjustRightInd w:val="0"/>
        <w:ind w:leftChars="0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624F58">
        <w:rPr>
          <w:rFonts w:ascii="標楷體" w:eastAsia="標楷體" w:cs="標楷體" w:hint="eastAsia"/>
          <w:color w:val="000000"/>
          <w:kern w:val="0"/>
          <w:sz w:val="28"/>
          <w:szCs w:val="28"/>
        </w:rPr>
        <w:lastRenderedPageBreak/>
        <w:t>結論與建議</w:t>
      </w:r>
      <w:r w:rsidRPr="00624F58">
        <w:rPr>
          <w:rFonts w:ascii="標楷體" w:eastAsia="標楷體" w:cs="標楷體"/>
          <w:color w:val="000000"/>
          <w:kern w:val="0"/>
          <w:sz w:val="28"/>
          <w:szCs w:val="28"/>
        </w:rPr>
        <w:t xml:space="preserve"> </w:t>
      </w:r>
    </w:p>
    <w:p w:rsidR="005F01DB" w:rsidRPr="005F01DB" w:rsidRDefault="00D84158" w:rsidP="008A14B7">
      <w:pPr>
        <w:autoSpaceDE w:val="0"/>
        <w:autoSpaceDN w:val="0"/>
        <w:adjustRightInd w:val="0"/>
        <w:snapToGrid w:val="0"/>
        <w:spacing w:beforeLines="50" w:line="480" w:lineRule="exact"/>
        <w:ind w:firstLineChars="200" w:firstLine="560"/>
        <w:rPr>
          <w:rFonts w:ascii="標楷體" w:eastAsia="標楷體" w:hAnsi="標楷體" w:cs="標楷體"/>
          <w:kern w:val="0"/>
          <w:sz w:val="28"/>
          <w:szCs w:val="28"/>
        </w:rPr>
      </w:pPr>
      <w:r w:rsidRPr="005F01DB">
        <w:rPr>
          <w:rFonts w:ascii="標楷體" w:eastAsia="標楷體" w:hAnsi="標楷體"/>
          <w:sz w:val="28"/>
          <w:szCs w:val="28"/>
        </w:rPr>
        <w:t>近年來民眾法律意識逐年高漲，透過公所的調解可有效的平息社會紛爭，更可大幅減輕法院的訴訟案件，</w:t>
      </w:r>
      <w:r w:rsidR="00E470D4" w:rsidRPr="005F01DB">
        <w:rPr>
          <w:rFonts w:ascii="標楷體" w:eastAsia="標楷體" w:hAnsi="標楷體" w:cs="標楷體" w:hint="eastAsia"/>
          <w:kern w:val="0"/>
          <w:sz w:val="28"/>
          <w:szCs w:val="28"/>
        </w:rPr>
        <w:t>這也是</w:t>
      </w:r>
      <w:r w:rsidRPr="005F01DB">
        <w:rPr>
          <w:rFonts w:ascii="標楷體" w:eastAsia="標楷體" w:hAnsi="標楷體" w:cs="標楷體" w:hint="eastAsia"/>
          <w:kern w:val="0"/>
          <w:sz w:val="28"/>
          <w:szCs w:val="28"/>
        </w:rPr>
        <w:t>一種司法替代性制度，對於化解糾紛，疏減</w:t>
      </w:r>
      <w:proofErr w:type="gramStart"/>
      <w:r w:rsidRPr="005F01DB">
        <w:rPr>
          <w:rFonts w:ascii="標楷體" w:eastAsia="標楷體" w:hAnsi="標楷體" w:cs="標楷體" w:hint="eastAsia"/>
          <w:kern w:val="0"/>
          <w:sz w:val="28"/>
          <w:szCs w:val="28"/>
        </w:rPr>
        <w:t>訟</w:t>
      </w:r>
      <w:proofErr w:type="gramEnd"/>
      <w:r w:rsidRPr="005F01DB">
        <w:rPr>
          <w:rFonts w:ascii="標楷體" w:eastAsia="標楷體" w:hAnsi="標楷體" w:cs="標楷體" w:hint="eastAsia"/>
          <w:kern w:val="0"/>
          <w:sz w:val="28"/>
          <w:szCs w:val="28"/>
        </w:rPr>
        <w:t>源，促進地方和諧，已有其一定的評價。</w:t>
      </w:r>
      <w:r w:rsidR="00E470D4" w:rsidRPr="005F01DB">
        <w:rPr>
          <w:rFonts w:ascii="標楷體" w:eastAsia="標楷體" w:hAnsi="標楷體" w:cs="標楷體" w:hint="eastAsia"/>
          <w:kern w:val="0"/>
          <w:sz w:val="28"/>
          <w:szCs w:val="28"/>
        </w:rPr>
        <w:t>然而</w:t>
      </w:r>
      <w:r w:rsidRPr="005F01DB">
        <w:rPr>
          <w:rFonts w:ascii="標楷體" w:eastAsia="標楷體" w:hAnsi="標楷體" w:cs="標楷體" w:hint="eastAsia"/>
          <w:kern w:val="0"/>
          <w:sz w:val="28"/>
          <w:szCs w:val="28"/>
        </w:rPr>
        <w:t>任何一種制度</w:t>
      </w:r>
      <w:r w:rsidR="00E470D4" w:rsidRPr="005F01DB">
        <w:rPr>
          <w:rFonts w:ascii="標楷體" w:eastAsia="標楷體" w:hAnsi="標楷體" w:cs="標楷體" w:hint="eastAsia"/>
          <w:kern w:val="0"/>
          <w:sz w:val="28"/>
          <w:szCs w:val="28"/>
        </w:rPr>
        <w:t>之</w:t>
      </w:r>
      <w:r w:rsidRPr="005F01DB">
        <w:rPr>
          <w:rFonts w:ascii="標楷體" w:eastAsia="標楷體" w:hAnsi="標楷體" w:cs="標楷體" w:hint="eastAsia"/>
          <w:kern w:val="0"/>
          <w:sz w:val="28"/>
          <w:szCs w:val="28"/>
        </w:rPr>
        <w:t>施行</w:t>
      </w:r>
      <w:r w:rsidR="00E470D4" w:rsidRPr="005F01DB">
        <w:rPr>
          <w:rFonts w:ascii="標楷體" w:eastAsia="標楷體" w:hAnsi="標楷體" w:cs="標楷體" w:hint="eastAsia"/>
          <w:kern w:val="0"/>
          <w:sz w:val="28"/>
          <w:szCs w:val="28"/>
        </w:rPr>
        <w:t>，必須隨時間進行</w:t>
      </w:r>
      <w:r w:rsidRPr="005F01DB">
        <w:rPr>
          <w:rFonts w:ascii="標楷體" w:eastAsia="標楷體" w:hAnsi="標楷體" w:cs="標楷體" w:hint="eastAsia"/>
          <w:kern w:val="0"/>
          <w:sz w:val="28"/>
          <w:szCs w:val="28"/>
        </w:rPr>
        <w:t>調整</w:t>
      </w:r>
      <w:r w:rsidR="005F01DB" w:rsidRPr="005F01DB">
        <w:rPr>
          <w:rFonts w:ascii="標楷體" w:eastAsia="標楷體" w:hAnsi="標楷體" w:cs="標楷體" w:hint="eastAsia"/>
          <w:kern w:val="0"/>
          <w:sz w:val="28"/>
          <w:szCs w:val="28"/>
        </w:rPr>
        <w:t>，</w:t>
      </w:r>
      <w:r w:rsidR="008A14B7">
        <w:rPr>
          <w:rFonts w:ascii="標楷體" w:eastAsia="標楷體" w:hAnsi="標楷體" w:cs="標楷體" w:hint="eastAsia"/>
          <w:kern w:val="0"/>
          <w:sz w:val="28"/>
          <w:szCs w:val="28"/>
        </w:rPr>
        <w:t>其</w:t>
      </w:r>
      <w:r w:rsidRPr="005F01DB">
        <w:rPr>
          <w:rFonts w:ascii="標楷體" w:eastAsia="標楷體" w:hAnsi="標楷體" w:cs="標楷體" w:hint="eastAsia"/>
          <w:kern w:val="0"/>
          <w:sz w:val="28"/>
          <w:szCs w:val="28"/>
        </w:rPr>
        <w:t>建議如下：</w:t>
      </w:r>
    </w:p>
    <w:p w:rsidR="00D84158" w:rsidRPr="005F01DB" w:rsidRDefault="005F01DB" w:rsidP="008A14B7">
      <w:pPr>
        <w:pStyle w:val="a9"/>
        <w:numPr>
          <w:ilvl w:val="0"/>
          <w:numId w:val="6"/>
        </w:numPr>
        <w:autoSpaceDE w:val="0"/>
        <w:autoSpaceDN w:val="0"/>
        <w:adjustRightInd w:val="0"/>
        <w:snapToGrid w:val="0"/>
        <w:spacing w:beforeLines="50"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5F01DB">
        <w:rPr>
          <w:rStyle w:val="aa"/>
          <w:rFonts w:ascii="標楷體" w:eastAsia="標楷體" w:hAnsi="標楷體"/>
          <w:b w:val="0"/>
          <w:sz w:val="28"/>
          <w:szCs w:val="28"/>
        </w:rPr>
        <w:t>簡化流程</w:t>
      </w:r>
      <w:r w:rsidRPr="005F01DB">
        <w:rPr>
          <w:rFonts w:ascii="標楷體" w:eastAsia="標楷體" w:hAnsi="標楷體"/>
          <w:sz w:val="28"/>
          <w:szCs w:val="28"/>
        </w:rPr>
        <w:t>：審視現有的調解流程，尋找可以簡化或精簡的步驟，以提高效率。</w:t>
      </w:r>
    </w:p>
    <w:p w:rsidR="005F01DB" w:rsidRPr="005F01DB" w:rsidRDefault="005F01DB" w:rsidP="008A14B7">
      <w:pPr>
        <w:pStyle w:val="a9"/>
        <w:numPr>
          <w:ilvl w:val="0"/>
          <w:numId w:val="6"/>
        </w:numPr>
        <w:autoSpaceDE w:val="0"/>
        <w:autoSpaceDN w:val="0"/>
        <w:adjustRightInd w:val="0"/>
        <w:snapToGrid w:val="0"/>
        <w:spacing w:beforeLines="50" w:line="480" w:lineRule="exact"/>
        <w:ind w:leftChars="0"/>
        <w:rPr>
          <w:rFonts w:ascii="標楷體" w:eastAsia="標楷體" w:hAnsi="標楷體" w:cs="標楷體"/>
          <w:kern w:val="0"/>
          <w:sz w:val="28"/>
          <w:szCs w:val="28"/>
        </w:rPr>
      </w:pPr>
      <w:r w:rsidRPr="005F01DB">
        <w:rPr>
          <w:rFonts w:ascii="標楷體" w:eastAsia="標楷體" w:hAnsi="標楷體"/>
          <w:sz w:val="28"/>
          <w:szCs w:val="28"/>
        </w:rPr>
        <w:t>加強調解人員的培訓和認證標準，確保他們具備必要的專業知識和技能。增加調解人員的數量或改進他們的工作條件，以提升服務的質量和效率。</w:t>
      </w:r>
    </w:p>
    <w:p w:rsidR="005F01DB" w:rsidRPr="005F01DB" w:rsidRDefault="005F01DB" w:rsidP="008A14B7">
      <w:pPr>
        <w:pStyle w:val="a9"/>
        <w:numPr>
          <w:ilvl w:val="0"/>
          <w:numId w:val="6"/>
        </w:numPr>
        <w:autoSpaceDE w:val="0"/>
        <w:autoSpaceDN w:val="0"/>
        <w:adjustRightInd w:val="0"/>
        <w:snapToGrid w:val="0"/>
        <w:spacing w:beforeLines="50" w:line="480" w:lineRule="exact"/>
        <w:ind w:leftChars="0"/>
        <w:rPr>
          <w:rFonts w:ascii="標楷體" w:eastAsia="標楷體" w:hAnsi="標楷體" w:cs="標楷體"/>
          <w:kern w:val="0"/>
          <w:sz w:val="28"/>
          <w:szCs w:val="28"/>
        </w:rPr>
      </w:pPr>
      <w:r w:rsidRPr="005F01DB">
        <w:rPr>
          <w:rStyle w:val="aa"/>
          <w:rFonts w:ascii="標楷體" w:eastAsia="標楷體" w:hAnsi="標楷體"/>
          <w:b w:val="0"/>
          <w:sz w:val="28"/>
          <w:szCs w:val="28"/>
        </w:rPr>
        <w:t>公眾教育</w:t>
      </w:r>
      <w:r w:rsidRPr="005F01DB">
        <w:rPr>
          <w:rFonts w:ascii="標楷體" w:eastAsia="標楷體" w:hAnsi="標楷體"/>
          <w:sz w:val="28"/>
          <w:szCs w:val="28"/>
        </w:rPr>
        <w:t>：加強對公眾和利益關係人的調解概念和價值的宣傳，以增加參與和支持度。</w:t>
      </w:r>
    </w:p>
    <w:p w:rsidR="005F01DB" w:rsidRPr="005F01DB" w:rsidRDefault="005F01DB" w:rsidP="008A14B7">
      <w:pPr>
        <w:pStyle w:val="a9"/>
        <w:numPr>
          <w:ilvl w:val="0"/>
          <w:numId w:val="6"/>
        </w:numPr>
        <w:autoSpaceDE w:val="0"/>
        <w:autoSpaceDN w:val="0"/>
        <w:adjustRightInd w:val="0"/>
        <w:snapToGrid w:val="0"/>
        <w:spacing w:beforeLines="50" w:line="480" w:lineRule="exact"/>
        <w:ind w:leftChars="0"/>
        <w:rPr>
          <w:rFonts w:ascii="標楷體" w:eastAsia="標楷體" w:hAnsi="標楷體" w:cs="標楷體"/>
          <w:kern w:val="0"/>
          <w:sz w:val="28"/>
          <w:szCs w:val="28"/>
        </w:rPr>
      </w:pPr>
      <w:r w:rsidRPr="005F01DB">
        <w:rPr>
          <w:rStyle w:val="aa"/>
          <w:rFonts w:ascii="標楷體" w:eastAsia="標楷體" w:hAnsi="標楷體"/>
          <w:b w:val="0"/>
          <w:sz w:val="28"/>
          <w:szCs w:val="28"/>
        </w:rPr>
        <w:t>反饋機制</w:t>
      </w:r>
      <w:r w:rsidRPr="005F01DB">
        <w:rPr>
          <w:rFonts w:ascii="標楷體" w:eastAsia="標楷體" w:hAnsi="標楷體"/>
          <w:sz w:val="28"/>
          <w:szCs w:val="28"/>
        </w:rPr>
        <w:t>：設置有效的反饋機制，收集各方對調解過程和結果的意見，用於改進和提升服務。</w:t>
      </w:r>
    </w:p>
    <w:p w:rsidR="00624F58" w:rsidRPr="00D84158" w:rsidRDefault="00624F58" w:rsidP="00624F58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</w:p>
    <w:p w:rsidR="00AA587C" w:rsidRPr="00AA587C" w:rsidRDefault="00AA587C" w:rsidP="00AA587C">
      <w:pPr>
        <w:pStyle w:val="Default"/>
        <w:ind w:left="110"/>
        <w:rPr>
          <w:rFonts w:ascii="標楷體" w:eastAsia="標楷體" w:hAnsi="標楷體"/>
          <w:sz w:val="28"/>
          <w:szCs w:val="28"/>
        </w:rPr>
      </w:pPr>
    </w:p>
    <w:sectPr w:rsidR="00AA587C" w:rsidRPr="00AA587C" w:rsidSect="007F01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D8E" w:rsidRDefault="00020D8E" w:rsidP="00762B85">
      <w:r>
        <w:separator/>
      </w:r>
    </w:p>
  </w:endnote>
  <w:endnote w:type="continuationSeparator" w:id="0">
    <w:p w:rsidR="00020D8E" w:rsidRDefault="00020D8E" w:rsidP="00762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· L3n￥..AAe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D8E" w:rsidRDefault="00020D8E" w:rsidP="00762B85">
      <w:r>
        <w:separator/>
      </w:r>
    </w:p>
  </w:footnote>
  <w:footnote w:type="continuationSeparator" w:id="0">
    <w:p w:rsidR="00020D8E" w:rsidRDefault="00020D8E" w:rsidP="00762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03A0"/>
    <w:multiLevelType w:val="hybridMultilevel"/>
    <w:tmpl w:val="84E6F714"/>
    <w:lvl w:ilvl="0" w:tplc="334EAADE">
      <w:start w:val="1"/>
      <w:numFmt w:val="taiwaneseCountingThousand"/>
      <w:lvlText w:val="%1、"/>
      <w:lvlJc w:val="left"/>
      <w:pPr>
        <w:ind w:left="5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">
    <w:nsid w:val="22530E7D"/>
    <w:multiLevelType w:val="hybridMultilevel"/>
    <w:tmpl w:val="DF4A9B5C"/>
    <w:lvl w:ilvl="0" w:tplc="A62A4992">
      <w:start w:val="1"/>
      <w:numFmt w:val="decimal"/>
      <w:lvlText w:val="%1、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29321879"/>
    <w:multiLevelType w:val="hybridMultilevel"/>
    <w:tmpl w:val="7320EB6C"/>
    <w:lvl w:ilvl="0" w:tplc="C3E0FFD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2BEF1EA1"/>
    <w:multiLevelType w:val="hybridMultilevel"/>
    <w:tmpl w:val="E4005474"/>
    <w:lvl w:ilvl="0" w:tplc="415E1D36">
      <w:start w:val="1"/>
      <w:numFmt w:val="taiwaneseCountingThousand"/>
      <w:lvlText w:val="(%1)"/>
      <w:lvlJc w:val="left"/>
      <w:pPr>
        <w:ind w:left="1580" w:hanging="1020"/>
      </w:pPr>
      <w:rPr>
        <w:rFonts w:eastAsia="標楷體" w:cs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>
    <w:nsid w:val="3000300D"/>
    <w:multiLevelType w:val="hybridMultilevel"/>
    <w:tmpl w:val="2DDCA634"/>
    <w:lvl w:ilvl="0" w:tplc="D72AE002">
      <w:start w:val="3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微軟正黑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71F2EF4"/>
    <w:multiLevelType w:val="hybridMultilevel"/>
    <w:tmpl w:val="88C6B3C8"/>
    <w:lvl w:ilvl="0" w:tplc="7040E06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5676"/>
    <w:rsid w:val="00020D8E"/>
    <w:rsid w:val="00031F0B"/>
    <w:rsid w:val="000403D9"/>
    <w:rsid w:val="0004477B"/>
    <w:rsid w:val="00046502"/>
    <w:rsid w:val="00055FD9"/>
    <w:rsid w:val="00070E11"/>
    <w:rsid w:val="00072A44"/>
    <w:rsid w:val="000C1638"/>
    <w:rsid w:val="000C1C42"/>
    <w:rsid w:val="000C1E19"/>
    <w:rsid w:val="000D011C"/>
    <w:rsid w:val="000D7E13"/>
    <w:rsid w:val="000F0E36"/>
    <w:rsid w:val="000F380A"/>
    <w:rsid w:val="000F43AB"/>
    <w:rsid w:val="00106061"/>
    <w:rsid w:val="00116E06"/>
    <w:rsid w:val="00136EA8"/>
    <w:rsid w:val="00137455"/>
    <w:rsid w:val="001543A3"/>
    <w:rsid w:val="00182936"/>
    <w:rsid w:val="001907E6"/>
    <w:rsid w:val="001A26E0"/>
    <w:rsid w:val="001A71A7"/>
    <w:rsid w:val="001A795A"/>
    <w:rsid w:val="001B045F"/>
    <w:rsid w:val="001B6149"/>
    <w:rsid w:val="001C35D4"/>
    <w:rsid w:val="001C3EF3"/>
    <w:rsid w:val="001C7B31"/>
    <w:rsid w:val="00203646"/>
    <w:rsid w:val="00214987"/>
    <w:rsid w:val="00214E01"/>
    <w:rsid w:val="00233724"/>
    <w:rsid w:val="00244C8B"/>
    <w:rsid w:val="00245676"/>
    <w:rsid w:val="00281CA0"/>
    <w:rsid w:val="002879C9"/>
    <w:rsid w:val="00296091"/>
    <w:rsid w:val="002B0E46"/>
    <w:rsid w:val="002C3FEF"/>
    <w:rsid w:val="002C4370"/>
    <w:rsid w:val="002C4565"/>
    <w:rsid w:val="002D6CE7"/>
    <w:rsid w:val="00331E8F"/>
    <w:rsid w:val="0033535C"/>
    <w:rsid w:val="00336F3B"/>
    <w:rsid w:val="00357BA8"/>
    <w:rsid w:val="00375248"/>
    <w:rsid w:val="003A2DD5"/>
    <w:rsid w:val="003C72DF"/>
    <w:rsid w:val="003D009C"/>
    <w:rsid w:val="003D4147"/>
    <w:rsid w:val="003E1670"/>
    <w:rsid w:val="0040418C"/>
    <w:rsid w:val="00412DAB"/>
    <w:rsid w:val="00421841"/>
    <w:rsid w:val="00423A02"/>
    <w:rsid w:val="00446EC3"/>
    <w:rsid w:val="00462C6D"/>
    <w:rsid w:val="00467670"/>
    <w:rsid w:val="00480031"/>
    <w:rsid w:val="00483078"/>
    <w:rsid w:val="00484029"/>
    <w:rsid w:val="004A0462"/>
    <w:rsid w:val="004A3573"/>
    <w:rsid w:val="004A7F17"/>
    <w:rsid w:val="004B3379"/>
    <w:rsid w:val="004B38F1"/>
    <w:rsid w:val="004D4927"/>
    <w:rsid w:val="004F5F59"/>
    <w:rsid w:val="00547F7E"/>
    <w:rsid w:val="00554CB2"/>
    <w:rsid w:val="00562779"/>
    <w:rsid w:val="005637E4"/>
    <w:rsid w:val="00574D99"/>
    <w:rsid w:val="0059025E"/>
    <w:rsid w:val="00590E5C"/>
    <w:rsid w:val="00596813"/>
    <w:rsid w:val="005A760B"/>
    <w:rsid w:val="005C5162"/>
    <w:rsid w:val="005D0D37"/>
    <w:rsid w:val="005D79E4"/>
    <w:rsid w:val="005D7C1A"/>
    <w:rsid w:val="005E142A"/>
    <w:rsid w:val="005E61FF"/>
    <w:rsid w:val="005F01DB"/>
    <w:rsid w:val="00615303"/>
    <w:rsid w:val="00624F58"/>
    <w:rsid w:val="00644655"/>
    <w:rsid w:val="006657B8"/>
    <w:rsid w:val="00672AC0"/>
    <w:rsid w:val="00685D9C"/>
    <w:rsid w:val="006A37FB"/>
    <w:rsid w:val="006B57DE"/>
    <w:rsid w:val="006B5C17"/>
    <w:rsid w:val="006C169F"/>
    <w:rsid w:val="006D3F35"/>
    <w:rsid w:val="006D7AA1"/>
    <w:rsid w:val="006F26D6"/>
    <w:rsid w:val="00726A51"/>
    <w:rsid w:val="00727A48"/>
    <w:rsid w:val="007466DD"/>
    <w:rsid w:val="00753E6A"/>
    <w:rsid w:val="00761366"/>
    <w:rsid w:val="00762B85"/>
    <w:rsid w:val="00783BE9"/>
    <w:rsid w:val="00783BEB"/>
    <w:rsid w:val="00790D66"/>
    <w:rsid w:val="00795806"/>
    <w:rsid w:val="007A3D29"/>
    <w:rsid w:val="007B65CD"/>
    <w:rsid w:val="007D4D56"/>
    <w:rsid w:val="007F01E1"/>
    <w:rsid w:val="007F461B"/>
    <w:rsid w:val="007F6EC9"/>
    <w:rsid w:val="0082716E"/>
    <w:rsid w:val="0083369E"/>
    <w:rsid w:val="008340D6"/>
    <w:rsid w:val="0084507B"/>
    <w:rsid w:val="00850EB8"/>
    <w:rsid w:val="00856447"/>
    <w:rsid w:val="00882E10"/>
    <w:rsid w:val="008A1118"/>
    <w:rsid w:val="008A14B7"/>
    <w:rsid w:val="008B0A31"/>
    <w:rsid w:val="008B2AB0"/>
    <w:rsid w:val="008B45CC"/>
    <w:rsid w:val="008D3E92"/>
    <w:rsid w:val="008E694A"/>
    <w:rsid w:val="00936A43"/>
    <w:rsid w:val="00963072"/>
    <w:rsid w:val="00991E0F"/>
    <w:rsid w:val="00992A13"/>
    <w:rsid w:val="009A2FD2"/>
    <w:rsid w:val="009D7F1E"/>
    <w:rsid w:val="009E50E0"/>
    <w:rsid w:val="00A00D74"/>
    <w:rsid w:val="00A05CD4"/>
    <w:rsid w:val="00A157B0"/>
    <w:rsid w:val="00A2221E"/>
    <w:rsid w:val="00A24E8E"/>
    <w:rsid w:val="00A426EC"/>
    <w:rsid w:val="00A718D8"/>
    <w:rsid w:val="00A72F91"/>
    <w:rsid w:val="00A772FD"/>
    <w:rsid w:val="00A83B16"/>
    <w:rsid w:val="00A86381"/>
    <w:rsid w:val="00A946CE"/>
    <w:rsid w:val="00AA20B2"/>
    <w:rsid w:val="00AA587C"/>
    <w:rsid w:val="00AA60C2"/>
    <w:rsid w:val="00AA72CC"/>
    <w:rsid w:val="00AB532A"/>
    <w:rsid w:val="00B317CC"/>
    <w:rsid w:val="00B44DFC"/>
    <w:rsid w:val="00B53718"/>
    <w:rsid w:val="00B53D36"/>
    <w:rsid w:val="00B60961"/>
    <w:rsid w:val="00B82889"/>
    <w:rsid w:val="00B879C5"/>
    <w:rsid w:val="00BC68CA"/>
    <w:rsid w:val="00BD2216"/>
    <w:rsid w:val="00BE44C7"/>
    <w:rsid w:val="00C003C6"/>
    <w:rsid w:val="00C05922"/>
    <w:rsid w:val="00C26765"/>
    <w:rsid w:val="00C43349"/>
    <w:rsid w:val="00C5647C"/>
    <w:rsid w:val="00C57673"/>
    <w:rsid w:val="00C70031"/>
    <w:rsid w:val="00C860E2"/>
    <w:rsid w:val="00C932F9"/>
    <w:rsid w:val="00CA10DC"/>
    <w:rsid w:val="00CB2604"/>
    <w:rsid w:val="00CF32A1"/>
    <w:rsid w:val="00D04A0E"/>
    <w:rsid w:val="00D14B2C"/>
    <w:rsid w:val="00D16B76"/>
    <w:rsid w:val="00D31870"/>
    <w:rsid w:val="00D33AE8"/>
    <w:rsid w:val="00D36009"/>
    <w:rsid w:val="00D370E1"/>
    <w:rsid w:val="00D612ED"/>
    <w:rsid w:val="00D621B2"/>
    <w:rsid w:val="00D66FB2"/>
    <w:rsid w:val="00D77E75"/>
    <w:rsid w:val="00D84158"/>
    <w:rsid w:val="00DA723D"/>
    <w:rsid w:val="00DB07D5"/>
    <w:rsid w:val="00DD0EA2"/>
    <w:rsid w:val="00E00AE7"/>
    <w:rsid w:val="00E308ED"/>
    <w:rsid w:val="00E3458E"/>
    <w:rsid w:val="00E470D4"/>
    <w:rsid w:val="00E7217A"/>
    <w:rsid w:val="00E8164C"/>
    <w:rsid w:val="00E8512B"/>
    <w:rsid w:val="00E863B9"/>
    <w:rsid w:val="00EA0183"/>
    <w:rsid w:val="00EA6C75"/>
    <w:rsid w:val="00F112EC"/>
    <w:rsid w:val="00F24524"/>
    <w:rsid w:val="00F406E8"/>
    <w:rsid w:val="00F76936"/>
    <w:rsid w:val="00F77019"/>
    <w:rsid w:val="00FA0529"/>
    <w:rsid w:val="00FB14AB"/>
    <w:rsid w:val="00FC15F6"/>
    <w:rsid w:val="00FC5FCE"/>
    <w:rsid w:val="00FE7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1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2B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62B8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62B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62B8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B14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B14A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BD2216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styleId="a9">
    <w:name w:val="List Paragraph"/>
    <w:basedOn w:val="a"/>
    <w:uiPriority w:val="34"/>
    <w:qFormat/>
    <w:rsid w:val="00685D9C"/>
    <w:pPr>
      <w:ind w:leftChars="200" w:left="480"/>
    </w:pPr>
  </w:style>
  <w:style w:type="character" w:styleId="aa">
    <w:name w:val="Strong"/>
    <w:basedOn w:val="a0"/>
    <w:uiPriority w:val="22"/>
    <w:qFormat/>
    <w:rsid w:val="005F01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___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autoTitleDeleted val="1"/>
    <c:plotArea>
      <c:layout/>
      <c:barChart>
        <c:barDir val="col"/>
        <c:grouping val="percentStacked"/>
        <c:ser>
          <c:idx val="0"/>
          <c:order val="0"/>
          <c:tx>
            <c:strRef>
              <c:f>Sheet1!$B$1</c:f>
              <c:strCache>
                <c:ptCount val="1"/>
                <c:pt idx="0">
                  <c:v>男性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108年</c:v>
                </c:pt>
                <c:pt idx="1">
                  <c:v>109年</c:v>
                </c:pt>
                <c:pt idx="2">
                  <c:v>110年</c:v>
                </c:pt>
                <c:pt idx="3">
                  <c:v>111年</c:v>
                </c:pt>
                <c:pt idx="4">
                  <c:v>112年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女性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108年</c:v>
                </c:pt>
                <c:pt idx="1">
                  <c:v>109年</c:v>
                </c:pt>
                <c:pt idx="2">
                  <c:v>110年</c:v>
                </c:pt>
                <c:pt idx="3">
                  <c:v>111年</c:v>
                </c:pt>
                <c:pt idx="4">
                  <c:v>112年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</c:numCache>
            </c:numRef>
          </c:val>
        </c:ser>
        <c:gapWidth val="95"/>
        <c:overlap val="100"/>
        <c:axId val="178775936"/>
        <c:axId val="178777472"/>
      </c:barChart>
      <c:catAx>
        <c:axId val="178775936"/>
        <c:scaling>
          <c:orientation val="minMax"/>
        </c:scaling>
        <c:axPos val="b"/>
        <c:majorTickMark val="none"/>
        <c:tickLblPos val="nextTo"/>
        <c:crossAx val="178777472"/>
        <c:crosses val="autoZero"/>
        <c:auto val="1"/>
        <c:lblAlgn val="ctr"/>
        <c:lblOffset val="100"/>
      </c:catAx>
      <c:valAx>
        <c:axId val="178777472"/>
        <c:scaling>
          <c:orientation val="minMax"/>
        </c:scaling>
        <c:axPos val="l"/>
        <c:majorGridlines/>
        <c:title>
          <c:tx>
            <c:rich>
              <a:bodyPr rot="0" vert="eaVert"/>
              <a:lstStyle/>
              <a:p>
                <a:pPr>
                  <a:defRPr/>
                </a:pPr>
                <a:r>
                  <a:rPr lang="zh-TW" altLang="en-US"/>
                  <a:t>百分比</a:t>
                </a:r>
                <a:endParaRPr lang="en-US" altLang="zh-TW"/>
              </a:p>
            </c:rich>
          </c:tx>
        </c:title>
        <c:numFmt formatCode="0%" sourceLinked="1"/>
        <c:majorTickMark val="none"/>
        <c:tickLblPos val="nextTo"/>
        <c:crossAx val="17877593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zh-TW" altLang="zh-TW" sz="1800"/>
              <a:t>近</a:t>
            </a:r>
            <a:r>
              <a:rPr lang="en-US" altLang="zh-TW" sz="1800"/>
              <a:t>5</a:t>
            </a:r>
            <a:r>
              <a:rPr lang="zh-TW" altLang="zh-TW" sz="1800"/>
              <a:t>年調解案件類別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zh-TW" altLang="en-US"/>
          </a:p>
        </c:rich>
      </c:tx>
    </c:title>
    <c:plotArea>
      <c:layout/>
      <c:lineChart>
        <c:grouping val="stacked"/>
        <c:ser>
          <c:idx val="0"/>
          <c:order val="0"/>
          <c:tx>
            <c:strRef>
              <c:f>Sheet1!$B$1</c:f>
              <c:strCache>
                <c:ptCount val="1"/>
                <c:pt idx="0">
                  <c:v>民事</c:v>
                </c:pt>
              </c:strCache>
            </c:strRef>
          </c:tx>
          <c:marker>
            <c:symbol val="none"/>
          </c:marker>
          <c:cat>
            <c:strRef>
              <c:f>Sheet1!$A$2:$A$6</c:f>
              <c:strCache>
                <c:ptCount val="5"/>
                <c:pt idx="0">
                  <c:v>108年</c:v>
                </c:pt>
                <c:pt idx="1">
                  <c:v>109年</c:v>
                </c:pt>
                <c:pt idx="2">
                  <c:v>110年</c:v>
                </c:pt>
                <c:pt idx="3">
                  <c:v>111年</c:v>
                </c:pt>
                <c:pt idx="4">
                  <c:v>112年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刑事</c:v>
                </c:pt>
              </c:strCache>
            </c:strRef>
          </c:tx>
          <c:marker>
            <c:symbol val="none"/>
          </c:marker>
          <c:cat>
            <c:strRef>
              <c:f>Sheet1!$A$2:$A$6</c:f>
              <c:strCache>
                <c:ptCount val="5"/>
                <c:pt idx="0">
                  <c:v>108年</c:v>
                </c:pt>
                <c:pt idx="1">
                  <c:v>109年</c:v>
                </c:pt>
                <c:pt idx="2">
                  <c:v>110年</c:v>
                </c:pt>
                <c:pt idx="3">
                  <c:v>111年</c:v>
                </c:pt>
                <c:pt idx="4">
                  <c:v>112年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10</c:v>
                </c:pt>
                <c:pt idx="1">
                  <c:v>12</c:v>
                </c:pt>
                <c:pt idx="2">
                  <c:v>16</c:v>
                </c:pt>
                <c:pt idx="3">
                  <c:v>14</c:v>
                </c:pt>
                <c:pt idx="4">
                  <c:v>14</c:v>
                </c:pt>
              </c:numCache>
            </c:numRef>
          </c:val>
        </c:ser>
        <c:dLbls>
          <c:showVal val="1"/>
        </c:dLbls>
        <c:marker val="1"/>
        <c:axId val="178679168"/>
        <c:axId val="185054336"/>
      </c:lineChart>
      <c:catAx>
        <c:axId val="178679168"/>
        <c:scaling>
          <c:orientation val="minMax"/>
        </c:scaling>
        <c:axPos val="b"/>
        <c:majorTickMark val="none"/>
        <c:tickLblPos val="nextTo"/>
        <c:crossAx val="185054336"/>
        <c:crosses val="autoZero"/>
        <c:auto val="1"/>
        <c:lblAlgn val="ctr"/>
        <c:lblOffset val="100"/>
      </c:catAx>
      <c:valAx>
        <c:axId val="185054336"/>
        <c:scaling>
          <c:orientation val="minMax"/>
        </c:scaling>
        <c:delete val="1"/>
        <c:axPos val="l"/>
        <c:numFmt formatCode="General" sourceLinked="1"/>
        <c:majorTickMark val="none"/>
        <c:tickLblPos val="none"/>
        <c:crossAx val="178679168"/>
        <c:crosses val="autoZero"/>
        <c:crossBetween val="between"/>
      </c:valAx>
    </c:plotArea>
    <c:legend>
      <c:legendPos val="t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/>
          <a:lstStyle/>
          <a:p>
            <a:pPr>
              <a:defRPr/>
            </a:pPr>
            <a:r>
              <a:rPr lang="en-US" altLang="zh-TW"/>
              <a:t>108-112</a:t>
            </a:r>
            <a:r>
              <a:rPr lang="zh-TW" altLang="en-US"/>
              <a:t>調解案件成立與否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成立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108年</c:v>
                </c:pt>
                <c:pt idx="1">
                  <c:v>109年</c:v>
                </c:pt>
                <c:pt idx="2">
                  <c:v>110年</c:v>
                </c:pt>
                <c:pt idx="3">
                  <c:v>111年</c:v>
                </c:pt>
                <c:pt idx="4">
                  <c:v>112年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9</c:v>
                </c:pt>
                <c:pt idx="1">
                  <c:v>8</c:v>
                </c:pt>
                <c:pt idx="2">
                  <c:v>8</c:v>
                </c:pt>
                <c:pt idx="3">
                  <c:v>6</c:v>
                </c:pt>
                <c:pt idx="4">
                  <c:v>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不成立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108年</c:v>
                </c:pt>
                <c:pt idx="1">
                  <c:v>109年</c:v>
                </c:pt>
                <c:pt idx="2">
                  <c:v>110年</c:v>
                </c:pt>
                <c:pt idx="3">
                  <c:v>111年</c:v>
                </c:pt>
                <c:pt idx="4">
                  <c:v>112年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2</c:v>
                </c:pt>
                <c:pt idx="1">
                  <c:v>5</c:v>
                </c:pt>
                <c:pt idx="2">
                  <c:v>11</c:v>
                </c:pt>
                <c:pt idx="3">
                  <c:v>8</c:v>
                </c:pt>
                <c:pt idx="4">
                  <c:v>6</c:v>
                </c:pt>
              </c:numCache>
            </c:numRef>
          </c:val>
        </c:ser>
        <c:axId val="178574848"/>
        <c:axId val="178576768"/>
      </c:barChart>
      <c:catAx>
        <c:axId val="17857484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zh-TW" altLang="en-US"/>
                  <a:t>年度</a:t>
                </a:r>
              </a:p>
            </c:rich>
          </c:tx>
        </c:title>
        <c:majorTickMark val="none"/>
        <c:tickLblPos val="nextTo"/>
        <c:crossAx val="178576768"/>
        <c:crosses val="autoZero"/>
        <c:auto val="1"/>
        <c:lblAlgn val="ctr"/>
        <c:lblOffset val="100"/>
      </c:catAx>
      <c:valAx>
        <c:axId val="178576768"/>
        <c:scaling>
          <c:orientation val="minMax"/>
        </c:scaling>
        <c:axPos val="l"/>
        <c:majorGridlines/>
        <c:title>
          <c:tx>
            <c:rich>
              <a:bodyPr rot="0" vert="eaVert"/>
              <a:lstStyle/>
              <a:p>
                <a:pPr>
                  <a:defRPr/>
                </a:pPr>
                <a:r>
                  <a:rPr lang="zh-TW" altLang="en-US"/>
                  <a:t>件數</a:t>
                </a:r>
              </a:p>
            </c:rich>
          </c:tx>
        </c:title>
        <c:numFmt formatCode="General" sourceLinked="1"/>
        <c:tickLblPos val="nextTo"/>
        <c:crossAx val="17857484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9E48-0121-44F1-A314-5D8D3B42C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4156</TotalTime>
  <Pages>4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pc35</dc:creator>
  <cp:lastModifiedBy>K</cp:lastModifiedBy>
  <cp:revision>114</cp:revision>
  <dcterms:created xsi:type="dcterms:W3CDTF">2018-03-13T08:46:00Z</dcterms:created>
  <dcterms:modified xsi:type="dcterms:W3CDTF">2024-08-15T05:44:00Z</dcterms:modified>
</cp:coreProperties>
</file>